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100</w:t>
      </w:r>
      <w:r>
        <w:rPr>
          <w:rFonts w:ascii="Arial" w:hAnsi="Arial" w:eastAsia="宋体" w:cs="Arial"/>
          <w:b/>
          <w:color w:val="auto"/>
          <w:sz w:val="24"/>
          <w:lang w:eastAsia="zh-CN"/>
        </w:rPr>
        <w:t>-e</w:t>
      </w:r>
      <w:r>
        <w:rPr>
          <w:rFonts w:ascii="Arial" w:hAnsi="Arial" w:eastAsia="MS Mincho"/>
          <w:b/>
          <w:color w:val="auto"/>
          <w:sz w:val="24"/>
        </w:rPr>
        <w:tab/>
      </w:r>
      <w:r>
        <w:rPr>
          <w:rFonts w:hint="eastAsia" w:ascii="Arial" w:hAnsi="Arial"/>
          <w:b/>
          <w:color w:val="auto"/>
          <w:sz w:val="24"/>
          <w:lang w:eastAsia="zh-CN"/>
        </w:rPr>
        <w:t>R4-2113215</w:t>
      </w:r>
      <w:bookmarkStart w:id="8" w:name="_GoBack"/>
      <w:bookmarkEnd w:id="8"/>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27</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Aug</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RRC Idle/Inactive and Connected state mobility requirements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9.9.4.3</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a way forward on RRM NR FR2 HST was approved in [1]:</w:t>
      </w:r>
      <w:r>
        <w:rPr>
          <w:rFonts w:hint="default" w:eastAsia="宋体"/>
          <w:color w:val="auto"/>
          <w:sz w:val="20"/>
          <w:szCs w:val="20"/>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Requirements for long DRX configurations</w:t>
            </w:r>
          </w:p>
          <w:p>
            <w:pPr>
              <w:numPr>
                <w:ilvl w:val="0"/>
                <w:numId w:val="4"/>
              </w:numPr>
              <w:ind w:left="84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Use 350kmph as a reference maximum train speed and define RRM requirements to guarantee that.</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Beam search scaling factor N</w:t>
            </w:r>
          </w:p>
          <w:p>
            <w:pPr>
              <w:numPr>
                <w:ilvl w:val="0"/>
                <w:numId w:val="4"/>
              </w:numPr>
              <w:ind w:left="840" w:leftChars="0" w:hanging="420" w:firstLineChars="0"/>
              <w:rPr>
                <w:rFonts w:hint="default" w:cs="Times New Roman"/>
                <w:b w:val="0"/>
                <w:bCs/>
                <w:sz w:val="20"/>
                <w:szCs w:val="20"/>
                <w:vertAlign w:val="baseline"/>
                <w:lang w:val="en-US" w:eastAsia="zh-CN"/>
              </w:rPr>
            </w:pPr>
            <w:r>
              <w:rPr>
                <w:rFonts w:hint="default" w:cs="Times New Roman"/>
                <w:b w:val="0"/>
                <w:bCs/>
                <w:sz w:val="20"/>
                <w:szCs w:val="20"/>
                <w:vertAlign w:val="baseline"/>
                <w:lang w:val="en-US" w:eastAsia="zh-CN"/>
              </w:rPr>
              <w:t>FFS: to be discussed depending on the outcomes of the deployment scenarios and when the number of RX beams is determined</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Requirements for long DRX configurations in CONNECTED state</w:t>
            </w:r>
          </w:p>
          <w:p>
            <w:pPr>
              <w:numPr>
                <w:ilvl w:val="0"/>
                <w:numId w:val="4"/>
              </w:numPr>
              <w:ind w:left="84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Option 1: Apply existing R16 requirements</w:t>
            </w:r>
          </w:p>
          <w:p>
            <w:pPr>
              <w:numPr>
                <w:ilvl w:val="0"/>
                <w:numId w:val="4"/>
              </w:numPr>
              <w:ind w:left="84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Option 2: Apply requirements for short DRX configurations</w:t>
            </w:r>
          </w:p>
          <w:p>
            <w:pPr>
              <w:numPr>
                <w:ilvl w:val="0"/>
                <w:numId w:val="4"/>
              </w:numPr>
              <w:ind w:left="84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 xml:space="preserve">Option 3: </w:t>
            </w:r>
          </w:p>
          <w:p>
            <w:pPr>
              <w:numPr>
                <w:ilvl w:val="0"/>
                <w:numId w:val="5"/>
              </w:numPr>
              <w:ind w:left="1260" w:leftChars="0" w:hanging="420" w:firstLineChars="0"/>
              <w:rPr>
                <w:rFonts w:hint="default" w:cs="Times New Roman"/>
                <w:b w:val="0"/>
                <w:bCs/>
                <w:sz w:val="20"/>
                <w:szCs w:val="20"/>
                <w:vertAlign w:val="baseline"/>
                <w:lang w:val="en-US" w:eastAsia="zh-CN"/>
              </w:rPr>
            </w:pPr>
            <w:r>
              <w:rPr>
                <w:rFonts w:hint="default" w:cs="Times New Roman"/>
                <w:b w:val="0"/>
                <w:bCs/>
                <w:sz w:val="20"/>
                <w:szCs w:val="20"/>
                <w:vertAlign w:val="baseline"/>
                <w:lang w:val="en-US" w:eastAsia="zh-CN"/>
              </w:rPr>
              <w:t xml:space="preserve">FFS the upper bound of DRX cycle which is determined based on the maximum target CPE speed. </w:t>
            </w:r>
          </w:p>
          <w:p>
            <w:pPr>
              <w:numPr>
                <w:ilvl w:val="0"/>
                <w:numId w:val="5"/>
              </w:numPr>
              <w:ind w:left="1260" w:leftChars="0" w:hanging="420" w:firstLineChars="0"/>
              <w:rPr>
                <w:rFonts w:hint="default" w:cs="Times New Roman"/>
                <w:b w:val="0"/>
                <w:bCs/>
                <w:sz w:val="20"/>
                <w:szCs w:val="20"/>
                <w:vertAlign w:val="baseline"/>
                <w:lang w:val="en-US" w:eastAsia="zh-CN"/>
              </w:rPr>
            </w:pPr>
            <w:r>
              <w:rPr>
                <w:rFonts w:hint="default" w:cs="Times New Roman"/>
                <w:b w:val="0"/>
                <w:bCs/>
                <w:sz w:val="20"/>
                <w:szCs w:val="20"/>
                <w:vertAlign w:val="baseline"/>
                <w:lang w:val="en-US" w:eastAsia="zh-CN"/>
              </w:rPr>
              <w:t>Enhancements are defined for small DRX cycle ≤  the upper bound; for DRX cycle &gt; the upper bound, existing Rel-16 FR2 requirements are reused</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Connected state mobility requirements</w:t>
            </w:r>
          </w:p>
          <w:p>
            <w:pPr>
              <w:numPr>
                <w:ilvl w:val="0"/>
                <w:numId w:val="6"/>
              </w:numPr>
              <w:ind w:left="840" w:leftChars="0" w:hanging="420" w:firstLineChars="0"/>
              <w:rPr>
                <w:rFonts w:hint="default" w:cs="Times New Roman"/>
                <w:b w:val="0"/>
                <w:bCs/>
                <w:sz w:val="20"/>
                <w:szCs w:val="20"/>
                <w:vertAlign w:val="baseline"/>
                <w:lang w:val="en-US" w:eastAsia="zh-CN"/>
              </w:rPr>
            </w:pPr>
            <w:r>
              <w:rPr>
                <w:rFonts w:hint="default" w:cs="Times New Roman"/>
                <w:b w:val="0"/>
                <w:bCs/>
                <w:sz w:val="20"/>
                <w:szCs w:val="20"/>
                <w:vertAlign w:val="baseline"/>
                <w:lang w:val="en-US" w:eastAsia="zh-CN"/>
              </w:rPr>
              <w:t xml:space="preserve">Connection Mobility Control </w:t>
            </w:r>
          </w:p>
          <w:p>
            <w:pPr>
              <w:numPr>
                <w:ilvl w:val="0"/>
                <w:numId w:val="7"/>
              </w:numPr>
              <w:ind w:left="1260" w:leftChars="0" w:hanging="420" w:firstLineChars="0"/>
              <w:rPr>
                <w:rFonts w:hint="default" w:cs="Times New Roman"/>
                <w:b w:val="0"/>
                <w:bCs/>
                <w:sz w:val="20"/>
                <w:szCs w:val="20"/>
                <w:vertAlign w:val="baseline"/>
                <w:lang w:val="en-US" w:eastAsia="zh-CN"/>
              </w:rPr>
            </w:pPr>
            <w:r>
              <w:rPr>
                <w:rFonts w:hint="default" w:cs="Times New Roman"/>
                <w:b w:val="0"/>
                <w:bCs/>
                <w:sz w:val="20"/>
                <w:szCs w:val="20"/>
                <w:vertAlign w:val="baseline"/>
                <w:lang w:val="en-US" w:eastAsia="zh-CN"/>
              </w:rPr>
              <w:t>RRC Release with Redirection</w:t>
            </w:r>
          </w:p>
          <w:p>
            <w:pPr>
              <w:numPr>
                <w:ilvl w:val="0"/>
                <w:numId w:val="8"/>
              </w:numPr>
              <w:ind w:left="1680" w:leftChars="0" w:hanging="420" w:firstLineChars="0"/>
              <w:rPr>
                <w:rFonts w:hint="default" w:cs="Times New Roman"/>
                <w:b w:val="0"/>
                <w:bCs/>
                <w:sz w:val="20"/>
                <w:szCs w:val="20"/>
                <w:vertAlign w:val="baseline"/>
                <w:lang w:val="en-US" w:eastAsia="zh-CN"/>
              </w:rPr>
            </w:pPr>
            <w:r>
              <w:rPr>
                <w:rFonts w:hint="default" w:cs="Times New Roman"/>
                <w:b w:val="0"/>
                <w:bCs/>
                <w:sz w:val="20"/>
                <w:szCs w:val="20"/>
                <w:vertAlign w:val="baseline"/>
                <w:lang w:val="en-US" w:eastAsia="zh-CN"/>
              </w:rPr>
              <w:t>Not applicable to FR2 HST</w:t>
            </w:r>
          </w:p>
          <w:p>
            <w:pPr>
              <w:numPr>
                <w:ilvl w:val="0"/>
                <w:numId w:val="7"/>
              </w:numPr>
              <w:ind w:left="126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RRC re-establishment</w:t>
            </w:r>
          </w:p>
          <w:p>
            <w:pPr>
              <w:numPr>
                <w:ilvl w:val="0"/>
                <w:numId w:val="8"/>
              </w:numPr>
              <w:ind w:left="168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FFS: Definition of criteria of known cell for FR2</w:t>
            </w:r>
          </w:p>
          <w:p>
            <w:pPr>
              <w:numPr>
                <w:ilvl w:val="0"/>
                <w:numId w:val="8"/>
              </w:numPr>
              <w:ind w:left="168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FFS: Enhancement of requirements on Connection Mobility Control - RRC re-establishment.</w:t>
            </w:r>
          </w:p>
          <w:p>
            <w:pPr>
              <w:numPr>
                <w:ilvl w:val="0"/>
                <w:numId w:val="6"/>
              </w:numPr>
              <w:ind w:left="84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Handover</w:t>
            </w:r>
          </w:p>
          <w:p>
            <w:pPr>
              <w:numPr>
                <w:ilvl w:val="0"/>
                <w:numId w:val="7"/>
              </w:numPr>
              <w:ind w:left="126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FFS: A need for enhancements based on the agreements about RX beam sweep number reduction.</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0"/>
                <w:szCs w:val="20"/>
                <w:lang w:val="en-US" w:eastAsia="zh-CN"/>
              </w:rPr>
            </w:pPr>
            <w:r>
              <w:rPr>
                <w:rFonts w:hint="default" w:ascii="Times New Roman" w:hAnsi="Times New Roman" w:cs="Times New Roman"/>
                <w:b/>
                <w:bCs/>
                <w:color w:val="auto"/>
                <w:sz w:val="20"/>
                <w:szCs w:val="20"/>
                <w:lang w:val="en-US" w:eastAsia="zh-CN"/>
              </w:rPr>
              <w:t>Cell reselection enhancements in IDLE/INACTIVE mode</w:t>
            </w:r>
          </w:p>
          <w:p>
            <w:pPr>
              <w:numPr>
                <w:ilvl w:val="0"/>
                <w:numId w:val="6"/>
              </w:numPr>
              <w:ind w:left="84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Cell reselection requirements in IDLE/INACTIVE mode are enhanced</w:t>
            </w:r>
          </w:p>
          <w:p>
            <w:pPr>
              <w:numPr>
                <w:ilvl w:val="0"/>
                <w:numId w:val="6"/>
              </w:numPr>
              <w:ind w:left="84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 xml:space="preserve">FFS enhancement details </w:t>
            </w:r>
          </w:p>
          <w:p>
            <w:pPr>
              <w:numPr>
                <w:ilvl w:val="0"/>
                <w:numId w:val="7"/>
              </w:numPr>
              <w:ind w:left="1260" w:leftChars="0" w:hanging="420" w:firstLineChars="0"/>
              <w:rPr>
                <w:rFonts w:hint="default" w:ascii="Times New Roman" w:hAnsi="Times New Roman" w:eastAsia="宋体" w:cs="Times New Roman"/>
                <w:b w:val="0"/>
                <w:bCs/>
                <w:sz w:val="20"/>
                <w:szCs w:val="20"/>
                <w:vertAlign w:val="baseline"/>
                <w:lang w:val="en-US" w:eastAsia="zh-CN"/>
              </w:rPr>
            </w:pPr>
            <w:r>
              <w:rPr>
                <w:rFonts w:hint="default" w:ascii="Times New Roman" w:hAnsi="Times New Roman" w:eastAsia="宋体" w:cs="Times New Roman"/>
                <w:b w:val="0"/>
                <w:bCs/>
                <w:sz w:val="20"/>
                <w:szCs w:val="20"/>
                <w:vertAlign w:val="baseline"/>
                <w:lang w:val="en-US" w:eastAsia="zh-CN"/>
              </w:rPr>
              <w:t xml:space="preserve">upper bound of DRX cycle </w:t>
            </w:r>
          </w:p>
          <w:p>
            <w:pPr>
              <w:numPr>
                <w:ilvl w:val="0"/>
                <w:numId w:val="7"/>
              </w:numPr>
              <w:ind w:left="1260" w:leftChars="0" w:hanging="420" w:firstLineChars="0"/>
              <w:rPr>
                <w:rFonts w:hint="default" w:eastAsia="宋体"/>
                <w:color w:val="auto"/>
                <w:sz w:val="20"/>
                <w:szCs w:val="20"/>
                <w:lang w:val="en-US" w:eastAsia="zh-CN"/>
              </w:rPr>
            </w:pPr>
            <w:r>
              <w:rPr>
                <w:rFonts w:hint="default" w:ascii="Times New Roman" w:hAnsi="Times New Roman" w:eastAsia="宋体" w:cs="Times New Roman"/>
                <w:b w:val="0"/>
                <w:bCs/>
                <w:sz w:val="20"/>
                <w:szCs w:val="20"/>
                <w:vertAlign w:val="baseline"/>
                <w:lang w:val="en-US" w:eastAsia="zh-CN"/>
              </w:rPr>
              <w:t>scaling factor N1</w:t>
            </w:r>
          </w:p>
          <w:p>
            <w:pPr>
              <w:numPr>
                <w:ilvl w:val="0"/>
                <w:numId w:val="7"/>
              </w:numPr>
              <w:ind w:left="1260" w:leftChars="0" w:hanging="420" w:firstLineChars="0"/>
              <w:rPr>
                <w:rFonts w:hint="default" w:eastAsia="宋体"/>
                <w:color w:val="auto"/>
                <w:sz w:val="21"/>
                <w:szCs w:val="21"/>
                <w:lang w:val="en-US" w:eastAsia="zh-CN"/>
              </w:rPr>
            </w:pPr>
            <w:r>
              <w:rPr>
                <w:rFonts w:hint="default" w:ascii="Times New Roman" w:hAnsi="Times New Roman" w:eastAsia="宋体" w:cs="Times New Roman"/>
                <w:b w:val="0"/>
                <w:bCs/>
                <w:sz w:val="20"/>
                <w:szCs w:val="20"/>
                <w:vertAlign w:val="baseline"/>
                <w:lang w:val="en-US" w:eastAsia="zh-CN"/>
              </w:rPr>
              <w:t>others are not precluded</w:t>
            </w:r>
          </w:p>
        </w:tc>
      </w:tr>
    </w:tbl>
    <w:p>
      <w:pPr>
        <w:widowControl w:val="0"/>
        <w:numPr>
          <w:ilvl w:val="0"/>
          <w:numId w:val="0"/>
        </w:numPr>
        <w:jc w:val="both"/>
        <w:rPr>
          <w:rFonts w:hint="eastAsia" w:eastAsia="宋体"/>
          <w:kern w:val="2"/>
          <w:sz w:val="20"/>
          <w:szCs w:val="20"/>
          <w:lang w:val="en-US" w:eastAsia="zh-CN"/>
        </w:rPr>
      </w:pPr>
      <w:r>
        <w:rPr>
          <w:rFonts w:hint="eastAsia" w:eastAsia="宋体"/>
          <w:color w:val="auto"/>
          <w:sz w:val="20"/>
          <w:szCs w:val="20"/>
          <w:lang w:val="en-US" w:eastAsia="zh-CN"/>
        </w:rPr>
        <w:t xml:space="preserve">Based on the conclusion in 99 meeting, it was agreed that network will indicate a flag to UE to differentiate between the HST and non-HST scenarios, which is similar with Rel-16 FR1 HST flag highSpeedMeasFlag-r16. </w:t>
      </w:r>
      <w:r>
        <w:rPr>
          <w:rFonts w:hint="eastAsia" w:eastAsia="宋体"/>
          <w:kern w:val="2"/>
          <w:sz w:val="20"/>
          <w:szCs w:val="20"/>
          <w:lang w:val="en-US" w:eastAsia="zh-CN"/>
        </w:rPr>
        <w:t>For the mobility requirements of CONNECTED state and IDLE/INACTIVE state, some issues are still open, we provide our analysis for the following issues:</w:t>
      </w:r>
    </w:p>
    <w:p>
      <w:pPr>
        <w:pStyle w:val="15"/>
        <w:keepNext w:val="0"/>
        <w:keepLines w:val="0"/>
        <w:pageBreakBefore w:val="0"/>
        <w:widowControl/>
        <w:numPr>
          <w:ilvl w:val="1"/>
          <w:numId w:val="9"/>
        </w:numPr>
        <w:kinsoku/>
        <w:wordWrap/>
        <w:overflowPunct/>
        <w:topLinePunct w:val="0"/>
        <w:autoSpaceDE/>
        <w:autoSpaceDN/>
        <w:bidi w:val="0"/>
        <w:adjustRightInd/>
        <w:snapToGri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eastAsia="宋体"/>
          <w:kern w:val="2"/>
          <w:sz w:val="20"/>
          <w:szCs w:val="20"/>
          <w:lang w:val="en-US" w:eastAsia="zh-CN"/>
        </w:rPr>
        <w:t xml:space="preserve"> </w:t>
      </w:r>
      <w:r>
        <w:rPr>
          <w:rFonts w:hint="eastAsia" w:ascii="Times New Roman" w:hAnsi="Times New Roman" w:cs="Times New Roman"/>
          <w:color w:val="auto"/>
          <w:sz w:val="20"/>
          <w:szCs w:val="20"/>
          <w:lang w:val="en-US" w:eastAsia="zh-CN" w:bidi="ar-SA"/>
        </w:rPr>
        <w:t>For CONNECTED state</w:t>
      </w:r>
    </w:p>
    <w:p>
      <w:pPr>
        <w:pStyle w:val="15"/>
        <w:keepNext w:val="0"/>
        <w:keepLines w:val="0"/>
        <w:pageBreakBefore w:val="0"/>
        <w:widowControl/>
        <w:numPr>
          <w:ilvl w:val="0"/>
          <w:numId w:val="10"/>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bookmarkStart w:id="0" w:name="OLE_LINK7"/>
      <w:r>
        <w:rPr>
          <w:rFonts w:hint="default" w:ascii="Times New Roman" w:hAnsi="Times New Roman" w:eastAsia="宋体" w:cs="Times New Roman"/>
          <w:color w:val="auto"/>
          <w:sz w:val="20"/>
          <w:szCs w:val="20"/>
          <w:lang w:val="en-US" w:eastAsia="zh-CN" w:bidi="ar-SA"/>
        </w:rPr>
        <w:t>Requirements for long DRX configurations</w:t>
      </w:r>
    </w:p>
    <w:bookmarkEnd w:id="0"/>
    <w:p>
      <w:pPr>
        <w:pStyle w:val="15"/>
        <w:keepNext w:val="0"/>
        <w:keepLines w:val="0"/>
        <w:pageBreakBefore w:val="0"/>
        <w:widowControl/>
        <w:numPr>
          <w:ilvl w:val="0"/>
          <w:numId w:val="10"/>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Handover</w:t>
      </w:r>
    </w:p>
    <w:p>
      <w:pPr>
        <w:pStyle w:val="15"/>
        <w:keepNext w:val="0"/>
        <w:keepLines w:val="0"/>
        <w:pageBreakBefore w:val="0"/>
        <w:widowControl/>
        <w:numPr>
          <w:ilvl w:val="0"/>
          <w:numId w:val="10"/>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eastAsia="宋体"/>
          <w:kern w:val="2"/>
          <w:sz w:val="20"/>
          <w:szCs w:val="20"/>
          <w:lang w:val="en-US" w:eastAsia="zh-CN"/>
        </w:rPr>
      </w:pPr>
      <w:r>
        <w:rPr>
          <w:rFonts w:hint="eastAsia" w:ascii="Times New Roman" w:hAnsi="Times New Roman" w:cs="Times New Roman"/>
          <w:color w:val="auto"/>
          <w:sz w:val="20"/>
          <w:szCs w:val="20"/>
          <w:lang w:val="en-US" w:eastAsia="zh-CN" w:bidi="ar-SA"/>
        </w:rPr>
        <w:t>RRC re-establishment</w:t>
      </w:r>
    </w:p>
    <w:p>
      <w:pPr>
        <w:pStyle w:val="15"/>
        <w:keepNext w:val="0"/>
        <w:keepLines w:val="0"/>
        <w:pageBreakBefore w:val="0"/>
        <w:widowControl/>
        <w:numPr>
          <w:ilvl w:val="1"/>
          <w:numId w:val="9"/>
        </w:numPr>
        <w:kinsoku/>
        <w:wordWrap/>
        <w:overflowPunct/>
        <w:topLinePunct w:val="0"/>
        <w:autoSpaceDE/>
        <w:autoSpaceDN/>
        <w:bidi w:val="0"/>
        <w:adjustRightInd/>
        <w:snapToGrid/>
        <w:spacing w:before="0" w:beforeAutospacing="0" w:after="120" w:afterAutospacing="0"/>
        <w:ind w:left="317" w:hanging="357"/>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For IDLE/INACTIVE state</w:t>
      </w:r>
    </w:p>
    <w:p>
      <w:pPr>
        <w:pStyle w:val="15"/>
        <w:keepNext w:val="0"/>
        <w:keepLines w:val="0"/>
        <w:pageBreakBefore w:val="0"/>
        <w:widowControl/>
        <w:numPr>
          <w:ilvl w:val="0"/>
          <w:numId w:val="10"/>
        </w:numPr>
        <w:kinsoku/>
        <w:wordWrap/>
        <w:overflowPunct/>
        <w:topLinePunct w:val="0"/>
        <w:autoSpaceDE/>
        <w:autoSpaceDN/>
        <w:bidi w:val="0"/>
        <w:adjustRightInd/>
        <w:snapToGrid/>
        <w:spacing w:before="0" w:beforeAutospacing="0" w:after="120" w:afterAutospacing="0"/>
        <w:ind w:left="840" w:leftChars="0" w:hanging="420" w:firstLineChars="0"/>
        <w:textAlignment w:val="auto"/>
        <w:rPr>
          <w:rFonts w:hint="default" w:ascii="Times New Roman" w:hAnsi="Times New Roman" w:eastAsia="宋体"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Cell re-selection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lang w:val="en-US" w:eastAsia="zh-CN"/>
        </w:rPr>
      </w:pPr>
      <w:r>
        <w:rPr>
          <w:rFonts w:hint="eastAsia"/>
          <w:color w:val="auto"/>
          <w:sz w:val="28"/>
          <w:szCs w:val="28"/>
          <w:lang w:val="en-US" w:eastAsia="zh-CN"/>
        </w:rPr>
        <w:t>2.1 CONNECTED state</w:t>
      </w:r>
    </w:p>
    <w:p>
      <w:pPr>
        <w:pStyle w:val="5"/>
        <w:bidi w:val="0"/>
        <w:rPr>
          <w:rFonts w:hint="eastAsia" w:ascii="Helvetica" w:hAnsi="Helvetica" w:eastAsia="MS Mincho" w:cs="Times New Roman"/>
          <w:b/>
          <w:bCs/>
          <w:iCs/>
          <w:color w:val="auto"/>
          <w:sz w:val="28"/>
          <w:szCs w:val="28"/>
          <w:lang w:val="en-US" w:eastAsia="zh-CN" w:bidi="ar-SA"/>
        </w:rPr>
      </w:pPr>
      <w:bookmarkStart w:id="1" w:name="OLE_LINK1"/>
      <w:r>
        <w:rPr>
          <w:rFonts w:hint="eastAsia" w:ascii="Helvetica" w:hAnsi="Helvetica" w:eastAsia="MS Mincho" w:cs="Times New Roman"/>
          <w:b/>
          <w:bCs/>
          <w:iCs/>
          <w:color w:val="auto"/>
          <w:sz w:val="28"/>
          <w:szCs w:val="28"/>
          <w:lang w:val="en-US" w:eastAsia="zh-CN" w:bidi="ar-SA"/>
        </w:rPr>
        <w:t>2.1.1 Requirements for long DRX configurations</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0"/>
          <w:szCs w:val="20"/>
          <w:lang w:val="en-US" w:eastAsia="zh-CN"/>
        </w:rPr>
      </w:pPr>
      <w:r>
        <w:rPr>
          <w:rFonts w:hint="eastAsia" w:eastAsia="宋体"/>
          <w:color w:val="auto"/>
          <w:sz w:val="20"/>
          <w:szCs w:val="20"/>
          <w:lang w:val="en-US" w:eastAsia="zh-CN"/>
        </w:rPr>
        <w:t>For this issue, three options were discussed during 99 meeting:</w:t>
      </w:r>
    </w:p>
    <w:p>
      <w:pPr>
        <w:pStyle w:val="15"/>
        <w:numPr>
          <w:ilvl w:val="1"/>
          <w:numId w:val="9"/>
        </w:numPr>
        <w:overflowPunct/>
        <w:autoSpaceDE/>
        <w:autoSpaceDN/>
        <w:adjustRightInd/>
        <w:spacing w:before="0" w:beforeAutospacing="0" w:after="120" w:afterAutospacing="0"/>
        <w:ind w:left="317" w:hanging="357"/>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Option 1: Apply existing R16 requirements</w:t>
      </w:r>
    </w:p>
    <w:p>
      <w:pPr>
        <w:pStyle w:val="15"/>
        <w:numPr>
          <w:ilvl w:val="1"/>
          <w:numId w:val="9"/>
        </w:numPr>
        <w:overflowPunct/>
        <w:autoSpaceDE/>
        <w:autoSpaceDN/>
        <w:adjustRightInd/>
        <w:spacing w:before="0" w:beforeAutospacing="0" w:after="120" w:afterAutospacing="0"/>
        <w:ind w:left="317" w:hanging="357"/>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Option 2: Apply requirements for short DRX configurations</w:t>
      </w:r>
    </w:p>
    <w:p>
      <w:pPr>
        <w:pStyle w:val="15"/>
        <w:numPr>
          <w:ilvl w:val="1"/>
          <w:numId w:val="9"/>
        </w:numPr>
        <w:overflowPunct/>
        <w:autoSpaceDE/>
        <w:autoSpaceDN/>
        <w:adjustRightInd/>
        <w:spacing w:before="0" w:beforeAutospacing="0" w:after="120" w:afterAutospacing="0"/>
        <w:ind w:left="317" w:hanging="357"/>
        <w:textAlignment w:val="auto"/>
        <w:rPr>
          <w:rFonts w:hint="default" w:ascii="Times New Roman" w:hAnsi="Times New Roman" w:cs="Times New Roman"/>
          <w:color w:val="auto"/>
          <w:sz w:val="20"/>
          <w:szCs w:val="20"/>
          <w:lang w:val="en-US" w:eastAsia="zh-CN" w:bidi="ar-SA"/>
        </w:rPr>
      </w:pPr>
      <w:r>
        <w:rPr>
          <w:rFonts w:hint="default" w:ascii="Times New Roman" w:hAnsi="Times New Roman" w:cs="Times New Roman"/>
          <w:color w:val="auto"/>
          <w:sz w:val="20"/>
          <w:szCs w:val="20"/>
          <w:lang w:val="en-US" w:eastAsia="zh-CN" w:bidi="ar-SA"/>
        </w:rPr>
        <w:t xml:space="preserve">Option 3: </w:t>
      </w:r>
    </w:p>
    <w:p>
      <w:pPr>
        <w:numPr>
          <w:ilvl w:val="0"/>
          <w:numId w:val="11"/>
        </w:numPr>
        <w:ind w:left="840" w:leftChars="0" w:hanging="420" w:firstLineChars="0"/>
        <w:rPr>
          <w:rFonts w:hint="default" w:cs="Times New Roman"/>
          <w:b w:val="0"/>
          <w:bCs/>
          <w:sz w:val="20"/>
          <w:szCs w:val="20"/>
          <w:vertAlign w:val="baseline"/>
          <w:lang w:val="en-US" w:eastAsia="zh-CN"/>
        </w:rPr>
      </w:pPr>
      <w:r>
        <w:rPr>
          <w:rFonts w:hint="default" w:cs="Times New Roman"/>
          <w:b w:val="0"/>
          <w:bCs/>
          <w:sz w:val="20"/>
          <w:szCs w:val="20"/>
          <w:vertAlign w:val="baseline"/>
          <w:lang w:val="en-US" w:eastAsia="zh-CN"/>
        </w:rPr>
        <w:t>FFS the upper bound of DRX cycle which is determined based on the maximum target CPE speed.</w:t>
      </w:r>
    </w:p>
    <w:p>
      <w:pPr>
        <w:numPr>
          <w:ilvl w:val="0"/>
          <w:numId w:val="11"/>
        </w:numPr>
        <w:ind w:left="840" w:leftChars="0" w:hanging="420" w:firstLineChars="0"/>
        <w:rPr>
          <w:rFonts w:hint="default" w:cs="Times New Roman"/>
          <w:b w:val="0"/>
          <w:bCs/>
          <w:sz w:val="20"/>
          <w:szCs w:val="20"/>
          <w:vertAlign w:val="baseline"/>
          <w:lang w:val="en-US" w:eastAsia="zh-CN"/>
        </w:rPr>
      </w:pPr>
      <w:r>
        <w:rPr>
          <w:rFonts w:hint="default" w:cs="Times New Roman"/>
          <w:b w:val="0"/>
          <w:bCs/>
          <w:sz w:val="20"/>
          <w:szCs w:val="20"/>
          <w:vertAlign w:val="baseline"/>
          <w:lang w:val="en-US" w:eastAsia="zh-CN"/>
        </w:rPr>
        <w:t>Enhancements are defined for small DRX cycle ≤ the upper bound; for DRX cycle &gt; the upper bound, existing Rel-16 FR2 requirements are reused</w:t>
      </w:r>
    </w:p>
    <w:p>
      <w:pPr>
        <w:keepNext w:val="0"/>
        <w:keepLines w:val="0"/>
        <w:pageBreakBefore w:val="0"/>
        <w:widowControl/>
        <w:kinsoku/>
        <w:wordWrap/>
        <w:overflowPunct/>
        <w:topLinePunct w:val="0"/>
        <w:autoSpaceDE/>
        <w:autoSpaceDN/>
        <w:bidi w:val="0"/>
        <w:adjustRightInd/>
        <w:snapToGrid/>
        <w:jc w:val="both"/>
        <w:textAlignment w:val="auto"/>
        <w:rPr>
          <w:rFonts w:hint="eastAsia" w:eastAsia="宋体"/>
          <w:color w:val="auto"/>
          <w:sz w:val="20"/>
          <w:szCs w:val="20"/>
          <w:lang w:val="en-US" w:eastAsia="zh-CN"/>
        </w:rPr>
      </w:pPr>
      <w:r>
        <w:rPr>
          <w:rFonts w:hint="eastAsia" w:eastAsia="宋体"/>
          <w:color w:val="auto"/>
          <w:sz w:val="20"/>
          <w:szCs w:val="20"/>
          <w:lang w:val="en-US" w:eastAsia="zh-CN"/>
        </w:rPr>
        <w:t xml:space="preserve">It has been agreed that using 350kmph as a reference maximum train speed during 99 meeting. Hence for the RRM requirements enhancement consideration, use the velocity of 350kmph as the baseline assumption. Based on the discussion in Scenario，only focusing on train roof-mounted high-power devices in the WI, for such type of UE, power consumption issue is no longer a bottleneck. Therefore, the demand for long DRX configuration is very low. Only considering how to define requirements to support FR2 HST for short DRX configuration is enough. It is not necessary to consider whether and how to enhance RRM requirements for long DRX configuration. </w:t>
      </w:r>
    </w:p>
    <w:p>
      <w:pPr>
        <w:keepNext w:val="0"/>
        <w:keepLines w:val="0"/>
        <w:pageBreakBefore w:val="0"/>
        <w:widowControl/>
        <w:kinsoku/>
        <w:wordWrap/>
        <w:overflowPunct/>
        <w:topLinePunct w:val="0"/>
        <w:autoSpaceDE/>
        <w:autoSpaceDN/>
        <w:bidi w:val="0"/>
        <w:adjustRightInd/>
        <w:snapToGrid/>
        <w:jc w:val="both"/>
        <w:textAlignment w:val="auto"/>
        <w:rPr>
          <w:rFonts w:hint="default" w:eastAsia="宋体"/>
          <w:color w:val="auto"/>
          <w:sz w:val="20"/>
          <w:szCs w:val="20"/>
          <w:lang w:val="en-US" w:eastAsia="zh-CN"/>
        </w:rPr>
      </w:pPr>
      <w:r>
        <w:rPr>
          <w:rFonts w:hint="default" w:eastAsia="宋体"/>
          <w:color w:val="auto"/>
          <w:sz w:val="20"/>
          <w:szCs w:val="20"/>
          <w:lang w:val="en-US" w:eastAsia="zh-CN"/>
        </w:rPr>
        <w:t xml:space="preserve">One issue is to define the upper bound of DRX cycle, such as 80ms. Once the upper bound determined, for DRX cycle &gt; the upper bound case, there are two candidate choice: </w:t>
      </w:r>
    </w:p>
    <w:p>
      <w:pPr>
        <w:numPr>
          <w:ilvl w:val="0"/>
          <w:numId w:val="12"/>
        </w:numPr>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Apply requirement for short DRX configuration;</w:t>
      </w:r>
    </w:p>
    <w:p>
      <w:pPr>
        <w:numPr>
          <w:ilvl w:val="0"/>
          <w:numId w:val="12"/>
        </w:numPr>
        <w:ind w:left="420" w:leftChars="0" w:hanging="420" w:firstLineChars="0"/>
        <w:rPr>
          <w:rFonts w:hint="default" w:eastAsia="宋体"/>
          <w:color w:val="auto"/>
          <w:sz w:val="20"/>
          <w:szCs w:val="20"/>
          <w:lang w:val="en-US" w:eastAsia="zh-CN"/>
        </w:rPr>
      </w:pPr>
      <w:r>
        <w:rPr>
          <w:rFonts w:hint="default" w:eastAsia="宋体"/>
          <w:color w:val="auto"/>
          <w:sz w:val="20"/>
          <w:szCs w:val="20"/>
          <w:lang w:val="en-US" w:eastAsia="zh-CN"/>
        </w:rPr>
        <w:t xml:space="preserve">Reuse existing R16 requirements for long DRX configuration, but network should avoid configure long DRX configuration for HST FR2 enable case. </w:t>
      </w:r>
    </w:p>
    <w:p>
      <w:pPr>
        <w:keepNext w:val="0"/>
        <w:keepLines w:val="0"/>
        <w:pageBreakBefore w:val="0"/>
        <w:widowControl/>
        <w:numPr>
          <w:ilvl w:val="0"/>
          <w:numId w:val="0"/>
        </w:numPr>
        <w:kinsoku/>
        <w:wordWrap/>
        <w:overflowPunct/>
        <w:topLinePunct w:val="0"/>
        <w:autoSpaceDE/>
        <w:autoSpaceDN/>
        <w:bidi w:val="0"/>
        <w:adjustRightInd/>
        <w:snapToGrid/>
        <w:spacing w:after="120"/>
        <w:ind w:leftChars="0"/>
        <w:jc w:val="both"/>
        <w:textAlignment w:val="auto"/>
        <w:rPr>
          <w:rFonts w:hint="default" w:eastAsia="宋体"/>
          <w:color w:val="auto"/>
          <w:sz w:val="20"/>
          <w:szCs w:val="20"/>
          <w:lang w:val="en-US" w:eastAsia="zh-CN"/>
        </w:rPr>
      </w:pPr>
      <w:r>
        <w:rPr>
          <w:rFonts w:hint="default" w:eastAsia="宋体"/>
          <w:color w:val="auto"/>
          <w:sz w:val="20"/>
          <w:szCs w:val="20"/>
          <w:lang w:val="en-US" w:eastAsia="zh-CN"/>
        </w:rPr>
        <w:t xml:space="preserve">In order to follow </w:t>
      </w:r>
      <w:r>
        <w:rPr>
          <w:rFonts w:hint="eastAsia" w:eastAsia="宋体"/>
          <w:color w:val="auto"/>
          <w:sz w:val="20"/>
          <w:szCs w:val="20"/>
          <w:lang w:val="en-US" w:eastAsia="zh-CN"/>
        </w:rPr>
        <w:t xml:space="preserve">the </w:t>
      </w:r>
      <w:r>
        <w:rPr>
          <w:rFonts w:hint="default" w:eastAsia="宋体"/>
          <w:color w:val="auto"/>
          <w:sz w:val="20"/>
          <w:szCs w:val="20"/>
          <w:lang w:val="en-US" w:eastAsia="zh-CN"/>
        </w:rPr>
        <w:t>similar principle used in FR1 HST, we propose to apply the second choice, i.e. reuse existing R</w:t>
      </w:r>
      <w:r>
        <w:rPr>
          <w:rFonts w:hint="eastAsia" w:eastAsia="宋体"/>
          <w:color w:val="auto"/>
          <w:sz w:val="20"/>
          <w:szCs w:val="20"/>
          <w:lang w:val="en-US" w:eastAsia="zh-CN"/>
        </w:rPr>
        <w:t>el-</w:t>
      </w:r>
      <w:r>
        <w:rPr>
          <w:rFonts w:hint="default" w:eastAsia="宋体"/>
          <w:color w:val="auto"/>
          <w:sz w:val="20"/>
          <w:szCs w:val="20"/>
          <w:lang w:val="en-US" w:eastAsia="zh-CN"/>
        </w:rPr>
        <w:t>16 requirements for long DRX configuration , but network should avoid configure long DRX configuration for HST FR2 enable</w:t>
      </w:r>
      <w:r>
        <w:rPr>
          <w:rFonts w:hint="eastAsia" w:eastAsia="宋体"/>
          <w:color w:val="auto"/>
          <w:sz w:val="20"/>
          <w:szCs w:val="20"/>
          <w:lang w:val="en-US" w:eastAsia="zh-CN"/>
        </w:rPr>
        <w:t>d</w:t>
      </w:r>
      <w:r>
        <w:rPr>
          <w:rFonts w:hint="default" w:eastAsia="宋体"/>
          <w:color w:val="auto"/>
          <w:sz w:val="20"/>
          <w:szCs w:val="20"/>
          <w:lang w:val="en-US" w:eastAsia="zh-CN"/>
        </w:rPr>
        <w:t xml:space="preserve"> case. </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eastAsia="宋体" w:cs="Times New Roman"/>
          <w:b/>
          <w:bCs/>
          <w:color w:val="auto"/>
          <w:sz w:val="20"/>
          <w:szCs w:val="20"/>
          <w:lang w:val="en-US" w:eastAsia="zh-CN" w:bidi="ar-SA"/>
        </w:rPr>
      </w:pPr>
      <w:bookmarkStart w:id="2" w:name="OLE_LINK3"/>
      <w:r>
        <w:rPr>
          <w:rFonts w:hint="eastAsia" w:eastAsia="宋体" w:cs="Times New Roman"/>
          <w:b/>
          <w:bCs/>
          <w:color w:val="auto"/>
          <w:sz w:val="20"/>
          <w:szCs w:val="20"/>
          <w:lang w:val="en-US" w:eastAsia="zh-CN" w:bidi="ar-SA"/>
        </w:rPr>
        <w:t>Proposal 1: Firstly the upper bound of DRX cycle should be determined.</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bCs/>
          <w:color w:val="auto"/>
          <w:sz w:val="20"/>
          <w:szCs w:val="20"/>
          <w:lang w:val="en-US" w:eastAsia="zh-CN" w:bidi="ar-SA"/>
        </w:rPr>
      </w:pPr>
      <w:r>
        <w:rPr>
          <w:rFonts w:hint="eastAsia" w:eastAsia="宋体" w:cs="Times New Roman"/>
          <w:b/>
          <w:bCs/>
          <w:color w:val="auto"/>
          <w:sz w:val="20"/>
          <w:szCs w:val="20"/>
          <w:lang w:val="en-US" w:eastAsia="zh-CN" w:bidi="ar-SA"/>
        </w:rPr>
        <w:t>Proposal 2: Requirements enhancement should be defined for small DRX cycle ≤ the upper bound. For the DRX cycle &gt; the upper bound, reuse existing Rel-16 requirements, but network should avoid configured long DRX configuration for HSR FR2 enabled case.</w:t>
      </w:r>
    </w:p>
    <w:bookmarkEnd w:id="1"/>
    <w:bookmarkEnd w:id="2"/>
    <w:p>
      <w:pPr>
        <w:pStyle w:val="5"/>
        <w:bidi w:val="0"/>
        <w:rPr>
          <w:rFonts w:hint="eastAsia" w:ascii="Helvetica" w:hAnsi="Helvetica" w:eastAsia="MS Mincho" w:cs="Times New Roman"/>
          <w:b/>
          <w:bCs/>
          <w:iCs/>
          <w:color w:val="auto"/>
          <w:sz w:val="28"/>
          <w:szCs w:val="28"/>
          <w:lang w:val="en-US" w:eastAsia="zh-CN" w:bidi="ar-SA"/>
        </w:rPr>
      </w:pPr>
      <w:r>
        <w:rPr>
          <w:rFonts w:hint="eastAsia" w:ascii="Helvetica" w:hAnsi="Helvetica" w:eastAsia="MS Mincho" w:cs="Times New Roman"/>
          <w:b/>
          <w:bCs/>
          <w:iCs/>
          <w:color w:val="auto"/>
          <w:sz w:val="28"/>
          <w:szCs w:val="28"/>
          <w:lang w:val="en-US" w:eastAsia="zh-CN" w:bidi="ar-SA"/>
        </w:rPr>
        <w:t>2.1.2 Handover</w:t>
      </w:r>
    </w:p>
    <w:p>
      <w:pPr>
        <w:keepNext w:val="0"/>
        <w:keepLines w:val="0"/>
        <w:pageBreakBefore w:val="0"/>
        <w:widowControl/>
        <w:kinsoku/>
        <w:wordWrap/>
        <w:overflowPunct/>
        <w:topLinePunct w:val="0"/>
        <w:autoSpaceDE/>
        <w:autoSpaceDN/>
        <w:bidi w:val="0"/>
        <w:adjustRightInd/>
        <w:snapToGrid/>
        <w:jc w:val="both"/>
        <w:textAlignment w:val="auto"/>
        <w:rPr>
          <w:rFonts w:hint="eastAsia" w:eastAsia="宋体"/>
          <w:color w:val="auto"/>
          <w:sz w:val="20"/>
          <w:szCs w:val="20"/>
          <w:lang w:val="en-US" w:eastAsia="zh-CN"/>
        </w:rPr>
      </w:pPr>
      <w:r>
        <w:rPr>
          <w:rFonts w:hint="eastAsia" w:eastAsia="宋体"/>
          <w:color w:val="auto"/>
          <w:sz w:val="20"/>
          <w:szCs w:val="20"/>
          <w:lang w:val="en-US" w:eastAsia="zh-CN"/>
        </w:rPr>
        <w:t xml:space="preserve">According to [2], handover delay includes two parts: </w:t>
      </w:r>
      <w:r>
        <w:rPr>
          <w:rFonts w:ascii="Times-Roman" w:hAnsi="Times-Roman"/>
          <w:sz w:val="20"/>
          <w:szCs w:val="20"/>
        </w:rPr>
        <w:t>D</w:t>
      </w:r>
      <w:r>
        <w:rPr>
          <w:rFonts w:ascii="Times-Roman" w:hAnsi="Times-Roman"/>
          <w:sz w:val="20"/>
          <w:szCs w:val="20"/>
          <w:vertAlign w:val="subscript"/>
        </w:rPr>
        <w:t>handover</w:t>
      </w:r>
      <w:r>
        <w:rPr>
          <w:rFonts w:ascii="Times-Roman" w:hAnsi="Times-Roman"/>
          <w:sz w:val="20"/>
          <w:szCs w:val="20"/>
        </w:rPr>
        <w:t xml:space="preserve"> = T</w:t>
      </w:r>
      <w:r>
        <w:rPr>
          <w:rFonts w:ascii="Times-Roman" w:hAnsi="Times-Roman"/>
          <w:sz w:val="20"/>
          <w:szCs w:val="20"/>
          <w:vertAlign w:val="subscript"/>
        </w:rPr>
        <w:t>RRC_delay</w:t>
      </w:r>
      <w:r>
        <w:rPr>
          <w:rFonts w:ascii="Times-Roman" w:hAnsi="Times-Roman"/>
          <w:sz w:val="20"/>
          <w:szCs w:val="20"/>
        </w:rPr>
        <w:t xml:space="preserve"> + T</w:t>
      </w:r>
      <w:r>
        <w:rPr>
          <w:rFonts w:ascii="Times-Roman" w:hAnsi="Times-Roman"/>
          <w:sz w:val="20"/>
          <w:szCs w:val="20"/>
          <w:vertAlign w:val="subscript"/>
        </w:rPr>
        <w:t>interrupt</w:t>
      </w:r>
      <w:r>
        <w:rPr>
          <w:rFonts w:hint="eastAsia" w:eastAsia="宋体"/>
          <w:color w:val="auto"/>
          <w:sz w:val="20"/>
          <w:szCs w:val="20"/>
          <w:lang w:val="en-US" w:eastAsia="zh-CN"/>
        </w:rPr>
        <w:t xml:space="preserve">, where </w:t>
      </w:r>
      <w:r>
        <w:rPr>
          <w:rFonts w:cs="v4.2.0"/>
          <w:sz w:val="20"/>
          <w:szCs w:val="20"/>
        </w:rPr>
        <w:t>T</w:t>
      </w:r>
      <w:r>
        <w:rPr>
          <w:rFonts w:cs="v4.2.0"/>
          <w:sz w:val="20"/>
          <w:szCs w:val="20"/>
          <w:vertAlign w:val="subscript"/>
        </w:rPr>
        <w:t>interrupt</w:t>
      </w:r>
      <w:r>
        <w:rPr>
          <w:sz w:val="20"/>
          <w:szCs w:val="20"/>
        </w:rPr>
        <w:t xml:space="preserve"> = T</w:t>
      </w:r>
      <w:r>
        <w:rPr>
          <w:sz w:val="20"/>
          <w:szCs w:val="20"/>
          <w:vertAlign w:val="subscript"/>
        </w:rPr>
        <w:t>search</w:t>
      </w:r>
      <w:r>
        <w:rPr>
          <w:sz w:val="20"/>
          <w:szCs w:val="20"/>
        </w:rPr>
        <w:t xml:space="preserve"> + T</w:t>
      </w:r>
      <w:r>
        <w:rPr>
          <w:sz w:val="20"/>
          <w:szCs w:val="20"/>
          <w:vertAlign w:val="subscript"/>
        </w:rPr>
        <w:t>IU</w:t>
      </w:r>
      <w:r>
        <w:rPr>
          <w:sz w:val="20"/>
          <w:szCs w:val="20"/>
        </w:rPr>
        <w:t xml:space="preserve"> + T</w:t>
      </w:r>
      <w:r>
        <w:rPr>
          <w:sz w:val="20"/>
          <w:szCs w:val="20"/>
          <w:vertAlign w:val="subscript"/>
          <w:lang w:eastAsia="zh-CN"/>
        </w:rPr>
        <w:t>processing</w:t>
      </w:r>
      <w:r>
        <w:rPr>
          <w:sz w:val="20"/>
          <w:szCs w:val="20"/>
          <w:lang w:eastAsia="zh-CN"/>
        </w:rPr>
        <w:t xml:space="preserve"> </w:t>
      </w:r>
      <w:r>
        <w:rPr>
          <w:sz w:val="20"/>
          <w:szCs w:val="20"/>
          <w:vertAlign w:val="subscript"/>
          <w:lang w:eastAsia="zh-CN"/>
        </w:rPr>
        <w:t xml:space="preserve"> </w:t>
      </w:r>
      <w:r>
        <w:rPr>
          <w:sz w:val="20"/>
          <w:szCs w:val="20"/>
          <w:lang w:eastAsia="zh-CN"/>
        </w:rPr>
        <w:t>+ T</w:t>
      </w:r>
      <w:r>
        <w:rPr>
          <w:sz w:val="20"/>
          <w:szCs w:val="20"/>
          <w:vertAlign w:val="subscript"/>
          <w:lang w:eastAsia="zh-CN"/>
        </w:rPr>
        <w:t>∆</w:t>
      </w:r>
      <w:r>
        <w:rPr>
          <w:sz w:val="20"/>
          <w:szCs w:val="20"/>
          <w:lang w:eastAsia="zh-CN"/>
        </w:rPr>
        <w:t xml:space="preserve"> + T</w:t>
      </w:r>
      <w:r>
        <w:rPr>
          <w:sz w:val="20"/>
          <w:szCs w:val="20"/>
          <w:vertAlign w:val="subscript"/>
          <w:lang w:eastAsia="zh-CN"/>
        </w:rPr>
        <w:t>margin</w:t>
      </w:r>
      <w:r>
        <w:rPr>
          <w:rFonts w:hint="eastAsia" w:eastAsia="宋体"/>
          <w:color w:val="auto"/>
          <w:sz w:val="20"/>
          <w:szCs w:val="20"/>
          <w:lang w:val="en-US" w:eastAsia="zh-CN"/>
        </w:rPr>
        <w:t xml:space="preserve"> ms. If the target cell is a known cell, then </w:t>
      </w:r>
      <w:r>
        <w:rPr>
          <w:sz w:val="20"/>
          <w:szCs w:val="20"/>
        </w:rPr>
        <w:t>T</w:t>
      </w:r>
      <w:r>
        <w:rPr>
          <w:sz w:val="20"/>
          <w:szCs w:val="20"/>
          <w:vertAlign w:val="subscript"/>
        </w:rPr>
        <w:t>search</w:t>
      </w:r>
      <w:r>
        <w:rPr>
          <w:rFonts w:hint="eastAsia" w:eastAsia="宋体"/>
          <w:color w:val="auto"/>
          <w:sz w:val="20"/>
          <w:szCs w:val="20"/>
          <w:lang w:val="en-US" w:eastAsia="zh-CN"/>
        </w:rPr>
        <w:t xml:space="preserve"> = 0 ms. If the target cell is an unknown intra-frequency cell and the target cell Es/Iot≥-2 dB, then Tsearch = 8* Trs ms. If the target cell is an unknown inter-frequency cell and the target cell Es/Iot≥-2 dB, then Tsearch = 8*3* Trs ms. Regardless of whether DRX is in use by the UE, </w:t>
      </w:r>
      <w:r>
        <w:rPr>
          <w:sz w:val="20"/>
          <w:szCs w:val="20"/>
        </w:rPr>
        <w:t>T</w:t>
      </w:r>
      <w:r>
        <w:rPr>
          <w:sz w:val="20"/>
          <w:szCs w:val="20"/>
          <w:vertAlign w:val="subscript"/>
        </w:rPr>
        <w:t>search</w:t>
      </w:r>
      <w:r>
        <w:rPr>
          <w:rFonts w:hint="eastAsia" w:eastAsia="宋体"/>
          <w:color w:val="auto"/>
          <w:sz w:val="20"/>
          <w:szCs w:val="20"/>
          <w:lang w:val="en-US" w:eastAsia="zh-CN"/>
        </w:rPr>
        <w:t xml:space="preserve"> shall still be based on non-DRX target cell search times.</w:t>
      </w:r>
    </w:p>
    <w:p>
      <w:pPr>
        <w:keepNext w:val="0"/>
        <w:keepLines w:val="0"/>
        <w:pageBreakBefore w:val="0"/>
        <w:widowControl/>
        <w:kinsoku/>
        <w:wordWrap/>
        <w:overflowPunct/>
        <w:topLinePunct w:val="0"/>
        <w:autoSpaceDE/>
        <w:autoSpaceDN/>
        <w:bidi w:val="0"/>
        <w:adjustRightInd/>
        <w:snapToGrid/>
        <w:jc w:val="both"/>
        <w:textAlignment w:val="auto"/>
        <w:rPr>
          <w:rFonts w:hint="eastAsia" w:eastAsia="宋体"/>
          <w:color w:val="auto"/>
          <w:sz w:val="20"/>
          <w:szCs w:val="20"/>
          <w:lang w:val="en-US" w:eastAsia="zh-CN"/>
        </w:rPr>
      </w:pPr>
      <w:r>
        <w:rPr>
          <w:rFonts w:hint="eastAsia" w:eastAsia="宋体"/>
          <w:color w:val="auto"/>
          <w:sz w:val="20"/>
          <w:szCs w:val="20"/>
          <w:lang w:val="en-US" w:eastAsia="zh-CN"/>
        </w:rPr>
        <w:t>In RAN4 98bis e-meeting, it was agree that the existing FR2 requirements should be applicable to the HST FR2 deployments when the target cell is known. However, the requirements when the target cell in unknown and a potential need to reduce FR2 scaling factor left open.</w:t>
      </w:r>
    </w:p>
    <w:p>
      <w:pPr>
        <w:keepNext w:val="0"/>
        <w:keepLines w:val="0"/>
        <w:pageBreakBefore w:val="0"/>
        <w:widowControl/>
        <w:kinsoku/>
        <w:wordWrap/>
        <w:overflowPunct/>
        <w:topLinePunct w:val="0"/>
        <w:autoSpaceDE/>
        <w:autoSpaceDN/>
        <w:bidi w:val="0"/>
        <w:adjustRightInd/>
        <w:snapToGrid/>
        <w:jc w:val="both"/>
        <w:textAlignment w:val="auto"/>
        <w:rPr>
          <w:rFonts w:hint="default" w:eastAsia="宋体"/>
          <w:color w:val="auto"/>
          <w:sz w:val="20"/>
          <w:szCs w:val="20"/>
          <w:lang w:val="en-US" w:eastAsia="zh-CN"/>
        </w:rPr>
      </w:pPr>
      <w:r>
        <w:rPr>
          <w:rFonts w:hint="eastAsia" w:eastAsia="宋体"/>
          <w:color w:val="auto"/>
          <w:sz w:val="20"/>
          <w:szCs w:val="20"/>
          <w:lang w:val="en-US" w:eastAsia="zh-CN"/>
        </w:rPr>
        <w:t xml:space="preserve">Firstly, if RX beam number is determined, the scaling factor defined here needs to be aligned. Align the assumption of existing Rel-16 scaling factor N=8, the intra-frequency handover delay, inter-frequency handover delay based on the different SMTC assumption are given in the following Table 1 and Table 2. </w:t>
      </w:r>
    </w:p>
    <w:p>
      <w:pPr>
        <w:numPr>
          <w:ilvl w:val="0"/>
          <w:numId w:val="0"/>
        </w:numPr>
        <w:ind w:leftChars="0"/>
        <w:jc w:val="center"/>
        <w:rPr>
          <w:rFonts w:hint="default"/>
          <w:szCs w:val="24"/>
          <w:lang w:val="en-US" w:eastAsia="zh-CN"/>
        </w:rPr>
      </w:pPr>
      <w:r>
        <w:rPr>
          <w:rFonts w:hint="eastAsia"/>
          <w:szCs w:val="24"/>
          <w:lang w:val="en-US" w:eastAsia="zh-CN"/>
        </w:rPr>
        <w:t>Table 1  Intra-frequency handover for N=8</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1"/>
        <w:gridCol w:w="1183"/>
        <w:gridCol w:w="1183"/>
        <w:gridCol w:w="1183"/>
        <w:gridCol w:w="1184"/>
        <w:gridCol w:w="1184"/>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891" w:type="dxa"/>
            <w:vAlign w:val="center"/>
          </w:tcPr>
          <w:p>
            <w:pPr>
              <w:tabs>
                <w:tab w:val="left" w:pos="1276"/>
              </w:tabs>
              <w:spacing w:before="0" w:after="0" w:line="240" w:lineRule="exact"/>
              <w:jc w:val="center"/>
              <w:rPr>
                <w:rFonts w:hint="eastAsia" w:ascii="Arial-BoldMT" w:hAnsi="Arial-BoldMT"/>
                <w:b w:val="0"/>
                <w:bCs w:val="0"/>
                <w:color w:val="000000"/>
                <w:sz w:val="18"/>
                <w:szCs w:val="18"/>
              </w:rPr>
            </w:pPr>
            <w:r>
              <w:rPr>
                <w:rFonts w:ascii="Arial-BoldMT" w:hAnsi="Arial-BoldMT"/>
                <w:b w:val="0"/>
                <w:bCs w:val="0"/>
                <w:color w:val="000000"/>
                <w:sz w:val="16"/>
                <w:szCs w:val="16"/>
              </w:rPr>
              <w:t>T</w:t>
            </w:r>
            <w:r>
              <w:rPr>
                <w:rFonts w:ascii="Arial-BoldMT" w:hAnsi="Arial-BoldMT"/>
                <w:b w:val="0"/>
                <w:bCs w:val="0"/>
                <w:color w:val="000000"/>
                <w:sz w:val="16"/>
                <w:szCs w:val="16"/>
                <w:vertAlign w:val="subscript"/>
              </w:rPr>
              <w:t>SMTC</w:t>
            </w:r>
            <w:r>
              <w:rPr>
                <w:rFonts w:ascii="Arial-BoldMT" w:hAnsi="Arial-BoldMT"/>
                <w:b w:val="0"/>
                <w:bCs w:val="0"/>
                <w:color w:val="000000"/>
                <w:sz w:val="16"/>
                <w:szCs w:val="16"/>
              </w:rPr>
              <w:t>, ms</w:t>
            </w:r>
          </w:p>
        </w:tc>
        <w:tc>
          <w:tcPr>
            <w:tcW w:w="1183" w:type="dxa"/>
            <w:vAlign w:val="bottom"/>
          </w:tcPr>
          <w:p>
            <w:pPr>
              <w:tabs>
                <w:tab w:val="left" w:pos="1276"/>
              </w:tabs>
              <w:spacing w:before="0" w:after="0" w:line="240" w:lineRule="exact"/>
              <w:jc w:val="center"/>
              <w:rPr>
                <w:bCs/>
                <w:sz w:val="18"/>
                <w:szCs w:val="18"/>
              </w:rPr>
            </w:pPr>
            <w:r>
              <w:rPr>
                <w:rFonts w:ascii="Calibri" w:hAnsi="Calibri" w:cs="Calibri"/>
                <w:color w:val="000000"/>
                <w:sz w:val="18"/>
                <w:szCs w:val="18"/>
              </w:rPr>
              <w:t>5</w:t>
            </w:r>
          </w:p>
        </w:tc>
        <w:tc>
          <w:tcPr>
            <w:tcW w:w="1183" w:type="dxa"/>
            <w:vAlign w:val="bottom"/>
          </w:tcPr>
          <w:p>
            <w:pPr>
              <w:tabs>
                <w:tab w:val="left" w:pos="1276"/>
              </w:tabs>
              <w:spacing w:before="0" w:after="0" w:line="240" w:lineRule="exact"/>
              <w:jc w:val="center"/>
              <w:rPr>
                <w:bCs/>
                <w:sz w:val="18"/>
                <w:szCs w:val="18"/>
              </w:rPr>
            </w:pPr>
            <w:r>
              <w:rPr>
                <w:rFonts w:ascii="Calibri" w:hAnsi="Calibri" w:cs="Calibri"/>
                <w:color w:val="000000"/>
                <w:sz w:val="18"/>
                <w:szCs w:val="18"/>
              </w:rPr>
              <w:t>10</w:t>
            </w:r>
          </w:p>
        </w:tc>
        <w:tc>
          <w:tcPr>
            <w:tcW w:w="1183" w:type="dxa"/>
            <w:vAlign w:val="bottom"/>
          </w:tcPr>
          <w:p>
            <w:pPr>
              <w:tabs>
                <w:tab w:val="left" w:pos="1276"/>
              </w:tabs>
              <w:spacing w:before="0" w:after="0" w:line="240" w:lineRule="exact"/>
              <w:jc w:val="center"/>
              <w:rPr>
                <w:bCs/>
                <w:sz w:val="18"/>
                <w:szCs w:val="18"/>
              </w:rPr>
            </w:pPr>
            <w:r>
              <w:rPr>
                <w:rFonts w:ascii="Calibri" w:hAnsi="Calibri" w:cs="Calibri"/>
                <w:color w:val="000000"/>
                <w:sz w:val="18"/>
                <w:szCs w:val="18"/>
              </w:rPr>
              <w:t>20</w:t>
            </w:r>
          </w:p>
        </w:tc>
        <w:tc>
          <w:tcPr>
            <w:tcW w:w="1184" w:type="dxa"/>
            <w:vAlign w:val="bottom"/>
          </w:tcPr>
          <w:p>
            <w:pPr>
              <w:tabs>
                <w:tab w:val="left" w:pos="1276"/>
              </w:tabs>
              <w:spacing w:before="0" w:after="0" w:line="240" w:lineRule="exact"/>
              <w:jc w:val="center"/>
              <w:rPr>
                <w:bCs/>
                <w:sz w:val="18"/>
                <w:szCs w:val="18"/>
              </w:rPr>
            </w:pPr>
            <w:r>
              <w:rPr>
                <w:rFonts w:ascii="Calibri" w:hAnsi="Calibri" w:cs="Calibri"/>
                <w:color w:val="000000"/>
                <w:sz w:val="18"/>
                <w:szCs w:val="18"/>
              </w:rPr>
              <w:t>40</w:t>
            </w:r>
          </w:p>
        </w:tc>
        <w:tc>
          <w:tcPr>
            <w:tcW w:w="1184" w:type="dxa"/>
            <w:vAlign w:val="bottom"/>
          </w:tcPr>
          <w:p>
            <w:pPr>
              <w:tabs>
                <w:tab w:val="left" w:pos="1276"/>
              </w:tabs>
              <w:spacing w:before="0" w:after="0" w:line="240" w:lineRule="exact"/>
              <w:jc w:val="center"/>
              <w:rPr>
                <w:bCs/>
                <w:sz w:val="18"/>
                <w:szCs w:val="18"/>
              </w:rPr>
            </w:pPr>
            <w:r>
              <w:rPr>
                <w:rFonts w:ascii="Calibri" w:hAnsi="Calibri" w:cs="Calibri"/>
                <w:color w:val="000000"/>
                <w:sz w:val="18"/>
                <w:szCs w:val="18"/>
              </w:rPr>
              <w:t>80</w:t>
            </w:r>
          </w:p>
        </w:tc>
        <w:tc>
          <w:tcPr>
            <w:tcW w:w="1184" w:type="dxa"/>
            <w:vAlign w:val="bottom"/>
          </w:tcPr>
          <w:p>
            <w:pPr>
              <w:tabs>
                <w:tab w:val="left" w:pos="1276"/>
              </w:tabs>
              <w:spacing w:before="0" w:after="0" w:line="240" w:lineRule="exact"/>
              <w:jc w:val="center"/>
              <w:rPr>
                <w:bCs/>
                <w:sz w:val="18"/>
                <w:szCs w:val="18"/>
              </w:rPr>
            </w:pPr>
            <w:r>
              <w:rPr>
                <w:rFonts w:ascii="Calibri" w:hAnsi="Calibri" w:cs="Calibri"/>
                <w:color w:val="000000"/>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891" w:type="dxa"/>
            <w:vAlign w:val="center"/>
          </w:tcPr>
          <w:p>
            <w:pPr>
              <w:tabs>
                <w:tab w:val="left" w:pos="1276"/>
              </w:tabs>
              <w:spacing w:before="0" w:after="0" w:line="240" w:lineRule="exact"/>
              <w:jc w:val="center"/>
              <w:rPr>
                <w:rFonts w:hint="eastAsia" w:ascii="Arial-BoldMT" w:hAnsi="Arial-BoldMT"/>
                <w:b w:val="0"/>
                <w:bCs w:val="0"/>
                <w:color w:val="000000"/>
                <w:sz w:val="18"/>
                <w:szCs w:val="18"/>
              </w:rPr>
            </w:pPr>
            <w:r>
              <w:rPr>
                <w:rFonts w:ascii="Arial-BoldMT" w:hAnsi="Arial-BoldMT"/>
                <w:b w:val="0"/>
                <w:bCs w:val="0"/>
                <w:color w:val="000000"/>
                <w:sz w:val="16"/>
                <w:szCs w:val="16"/>
              </w:rPr>
              <w:t>D</w:t>
            </w:r>
            <w:r>
              <w:rPr>
                <w:rFonts w:ascii="Arial-BoldMT" w:hAnsi="Arial-BoldMT"/>
                <w:b w:val="0"/>
                <w:bCs w:val="0"/>
                <w:color w:val="000000"/>
                <w:sz w:val="16"/>
                <w:szCs w:val="16"/>
                <w:vertAlign w:val="subscript"/>
              </w:rPr>
              <w:t>handover</w:t>
            </w:r>
            <w:r>
              <w:rPr>
                <w:rFonts w:ascii="Arial-BoldMT" w:hAnsi="Arial-BoldMT"/>
                <w:b w:val="0"/>
                <w:bCs w:val="0"/>
                <w:color w:val="000000"/>
                <w:sz w:val="16"/>
                <w:szCs w:val="16"/>
              </w:rPr>
              <w:t>, ms</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25</w:t>
            </w:r>
            <w:r>
              <w:rPr>
                <w:rFonts w:ascii="Calibri" w:hAnsi="Calibri" w:cs="Calibri"/>
                <w:color w:val="000000"/>
                <w:sz w:val="18"/>
                <w:szCs w:val="18"/>
              </w:rPr>
              <w:t>3</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28</w:t>
            </w:r>
            <w:r>
              <w:rPr>
                <w:rFonts w:ascii="Calibri" w:hAnsi="Calibri" w:cs="Calibri"/>
                <w:color w:val="000000"/>
                <w:sz w:val="18"/>
                <w:szCs w:val="18"/>
              </w:rPr>
              <w:t>2</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37</w:t>
            </w:r>
            <w:r>
              <w:rPr>
                <w:rFonts w:ascii="Calibri" w:hAnsi="Calibri" w:cs="Calibri"/>
                <w:color w:val="000000"/>
                <w:sz w:val="18"/>
                <w:szCs w:val="18"/>
              </w:rPr>
              <w:t>2</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55</w:t>
            </w:r>
            <w:r>
              <w:rPr>
                <w:rFonts w:ascii="Calibri" w:hAnsi="Calibri" w:cs="Calibri"/>
                <w:color w:val="000000"/>
                <w:sz w:val="18"/>
                <w:szCs w:val="18"/>
              </w:rPr>
              <w:t>2</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91</w:t>
            </w:r>
            <w:r>
              <w:rPr>
                <w:rFonts w:ascii="Calibri" w:hAnsi="Calibri" w:cs="Calibri"/>
                <w:color w:val="000000"/>
                <w:sz w:val="18"/>
                <w:szCs w:val="18"/>
              </w:rPr>
              <w:t>2</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163</w:t>
            </w:r>
            <w:r>
              <w:rPr>
                <w:rFonts w:ascii="Calibri" w:hAnsi="Calibri" w:cs="Calibri"/>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891" w:type="dxa"/>
            <w:vAlign w:val="center"/>
          </w:tcPr>
          <w:p>
            <w:pPr>
              <w:tabs>
                <w:tab w:val="left" w:pos="1276"/>
              </w:tabs>
              <w:spacing w:before="0" w:after="0" w:line="240" w:lineRule="exact"/>
              <w:jc w:val="center"/>
              <w:rPr>
                <w:rFonts w:hint="eastAsia" w:ascii="Times-Roman" w:hAnsi="Times-Roman"/>
                <w:b w:val="0"/>
                <w:bCs w:val="0"/>
                <w:sz w:val="18"/>
                <w:szCs w:val="18"/>
              </w:rPr>
            </w:pPr>
            <w:r>
              <w:rPr>
                <w:rFonts w:hint="eastAsia" w:ascii="Arial-BoldMT" w:hAnsi="Arial-BoldMT"/>
                <w:b w:val="0"/>
                <w:bCs w:val="0"/>
                <w:color w:val="000000"/>
                <w:sz w:val="16"/>
                <w:szCs w:val="16"/>
              </w:rPr>
              <w:t>D</w:t>
            </w:r>
            <w:r>
              <w:rPr>
                <w:rFonts w:ascii="Arial-BoldMT" w:hAnsi="Arial-BoldMT"/>
                <w:b w:val="0"/>
                <w:bCs w:val="0"/>
                <w:color w:val="000000"/>
                <w:sz w:val="16"/>
                <w:szCs w:val="16"/>
              </w:rPr>
              <w:t>istanc</w:t>
            </w:r>
            <w:r>
              <w:rPr>
                <w:rFonts w:hint="eastAsia" w:ascii="Arial-BoldMT" w:hAnsi="Arial-BoldMT"/>
                <w:b w:val="0"/>
                <w:bCs w:val="0"/>
                <w:color w:val="000000"/>
                <w:sz w:val="16"/>
                <w:szCs w:val="16"/>
              </w:rPr>
              <w:t>e</w:t>
            </w:r>
            <w:r>
              <w:rPr>
                <w:rFonts w:ascii="Arial-BoldMT" w:hAnsi="Arial-BoldMT"/>
                <w:b w:val="0"/>
                <w:bCs w:val="0"/>
                <w:color w:val="000000"/>
                <w:sz w:val="16"/>
                <w:szCs w:val="16"/>
              </w:rPr>
              <w:t xml:space="preserve"> traveled (m)</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25</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27</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36</w:t>
            </w:r>
          </w:p>
        </w:tc>
        <w:tc>
          <w:tcPr>
            <w:tcW w:w="1184"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54</w:t>
            </w:r>
          </w:p>
        </w:tc>
        <w:tc>
          <w:tcPr>
            <w:tcW w:w="1184"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88</w:t>
            </w:r>
          </w:p>
        </w:tc>
        <w:tc>
          <w:tcPr>
            <w:tcW w:w="1184"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158</w:t>
            </w:r>
          </w:p>
        </w:tc>
      </w:tr>
    </w:tbl>
    <w:p>
      <w:pPr>
        <w:numPr>
          <w:ilvl w:val="0"/>
          <w:numId w:val="0"/>
        </w:numPr>
        <w:ind w:leftChars="0"/>
        <w:jc w:val="center"/>
        <w:rPr>
          <w:rFonts w:hint="eastAsia"/>
          <w:szCs w:val="24"/>
          <w:lang w:val="en-US" w:eastAsia="zh-CN"/>
        </w:rPr>
      </w:pPr>
    </w:p>
    <w:p>
      <w:pPr>
        <w:numPr>
          <w:ilvl w:val="0"/>
          <w:numId w:val="0"/>
        </w:numPr>
        <w:ind w:leftChars="0"/>
        <w:jc w:val="center"/>
        <w:rPr>
          <w:rFonts w:hint="default"/>
          <w:szCs w:val="24"/>
          <w:lang w:val="en-US" w:eastAsia="zh-CN"/>
        </w:rPr>
      </w:pPr>
      <w:r>
        <w:rPr>
          <w:rFonts w:hint="eastAsia"/>
          <w:szCs w:val="24"/>
          <w:lang w:val="en-US" w:eastAsia="zh-CN"/>
        </w:rPr>
        <w:t>Table 2  Inter-frequency handover for N=8</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1"/>
        <w:gridCol w:w="1183"/>
        <w:gridCol w:w="1183"/>
        <w:gridCol w:w="1183"/>
        <w:gridCol w:w="1184"/>
        <w:gridCol w:w="1184"/>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891" w:type="dxa"/>
            <w:vAlign w:val="center"/>
          </w:tcPr>
          <w:p>
            <w:pPr>
              <w:tabs>
                <w:tab w:val="left" w:pos="1276"/>
              </w:tabs>
              <w:spacing w:before="0" w:after="0" w:line="240" w:lineRule="exact"/>
              <w:jc w:val="center"/>
              <w:rPr>
                <w:rFonts w:hint="eastAsia" w:ascii="Arial-BoldMT" w:hAnsi="Arial-BoldMT"/>
                <w:b w:val="0"/>
                <w:bCs w:val="0"/>
                <w:color w:val="000000"/>
                <w:sz w:val="16"/>
                <w:szCs w:val="16"/>
              </w:rPr>
            </w:pPr>
            <w:r>
              <w:rPr>
                <w:rFonts w:ascii="Arial-BoldMT" w:hAnsi="Arial-BoldMT"/>
                <w:b w:val="0"/>
                <w:bCs w:val="0"/>
                <w:color w:val="000000"/>
                <w:sz w:val="16"/>
                <w:szCs w:val="16"/>
              </w:rPr>
              <w:t>T</w:t>
            </w:r>
            <w:r>
              <w:rPr>
                <w:rFonts w:ascii="Arial-BoldMT" w:hAnsi="Arial-BoldMT"/>
                <w:b w:val="0"/>
                <w:bCs w:val="0"/>
                <w:color w:val="000000"/>
                <w:sz w:val="16"/>
                <w:szCs w:val="16"/>
                <w:vertAlign w:val="subscript"/>
              </w:rPr>
              <w:t>SMTC</w:t>
            </w:r>
            <w:r>
              <w:rPr>
                <w:rFonts w:ascii="Arial-BoldMT" w:hAnsi="Arial-BoldMT"/>
                <w:b w:val="0"/>
                <w:bCs w:val="0"/>
                <w:color w:val="000000"/>
                <w:sz w:val="16"/>
                <w:szCs w:val="16"/>
              </w:rPr>
              <w:t>, ms</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5</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10</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20</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40</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80</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891" w:type="dxa"/>
            <w:vAlign w:val="center"/>
          </w:tcPr>
          <w:p>
            <w:pPr>
              <w:tabs>
                <w:tab w:val="left" w:pos="1276"/>
              </w:tabs>
              <w:spacing w:before="0" w:after="0" w:line="240" w:lineRule="exact"/>
              <w:jc w:val="center"/>
              <w:rPr>
                <w:rFonts w:hint="eastAsia" w:ascii="Arial-BoldMT" w:hAnsi="Arial-BoldMT"/>
                <w:b w:val="0"/>
                <w:bCs w:val="0"/>
                <w:color w:val="000000"/>
                <w:sz w:val="16"/>
                <w:szCs w:val="16"/>
              </w:rPr>
            </w:pPr>
            <w:r>
              <w:rPr>
                <w:rFonts w:ascii="Arial-BoldMT" w:hAnsi="Arial-BoldMT"/>
                <w:b w:val="0"/>
                <w:bCs w:val="0"/>
                <w:color w:val="000000"/>
                <w:sz w:val="16"/>
                <w:szCs w:val="16"/>
              </w:rPr>
              <w:t>D</w:t>
            </w:r>
            <w:r>
              <w:rPr>
                <w:rFonts w:ascii="Arial-BoldMT" w:hAnsi="Arial-BoldMT"/>
                <w:b w:val="0"/>
                <w:bCs w:val="0"/>
                <w:color w:val="000000"/>
                <w:sz w:val="16"/>
                <w:szCs w:val="16"/>
                <w:vertAlign w:val="subscript"/>
              </w:rPr>
              <w:t>handover</w:t>
            </w:r>
            <w:r>
              <w:rPr>
                <w:rFonts w:ascii="Arial-BoldMT" w:hAnsi="Arial-BoldMT"/>
                <w:b w:val="0"/>
                <w:bCs w:val="0"/>
                <w:color w:val="000000"/>
                <w:sz w:val="16"/>
                <w:szCs w:val="16"/>
              </w:rPr>
              <w:t>, ms</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333</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442</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692</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1192</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2192</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4192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891" w:type="dxa"/>
            <w:vAlign w:val="center"/>
          </w:tcPr>
          <w:p>
            <w:pPr>
              <w:tabs>
                <w:tab w:val="left" w:pos="1276"/>
              </w:tabs>
              <w:spacing w:before="0" w:after="0" w:line="240" w:lineRule="exact"/>
              <w:jc w:val="center"/>
              <w:rPr>
                <w:rFonts w:hint="eastAsia" w:ascii="Arial-BoldMT" w:hAnsi="Arial-BoldMT"/>
                <w:b w:val="0"/>
                <w:bCs w:val="0"/>
                <w:color w:val="000000"/>
                <w:sz w:val="16"/>
                <w:szCs w:val="16"/>
              </w:rPr>
            </w:pPr>
            <w:r>
              <w:rPr>
                <w:rFonts w:hint="eastAsia" w:ascii="Arial-BoldMT" w:hAnsi="Arial-BoldMT"/>
                <w:b w:val="0"/>
                <w:bCs w:val="0"/>
                <w:color w:val="000000"/>
                <w:sz w:val="16"/>
                <w:szCs w:val="16"/>
              </w:rPr>
              <w:t>D</w:t>
            </w:r>
            <w:r>
              <w:rPr>
                <w:rFonts w:ascii="Arial-BoldMT" w:hAnsi="Arial-BoldMT"/>
                <w:b w:val="0"/>
                <w:bCs w:val="0"/>
                <w:color w:val="000000"/>
                <w:sz w:val="16"/>
                <w:szCs w:val="16"/>
              </w:rPr>
              <w:t>istanc</w:t>
            </w:r>
            <w:r>
              <w:rPr>
                <w:rFonts w:hint="eastAsia" w:ascii="Arial-BoldMT" w:hAnsi="Arial-BoldMT"/>
                <w:b w:val="0"/>
                <w:bCs w:val="0"/>
                <w:color w:val="000000"/>
                <w:sz w:val="16"/>
                <w:szCs w:val="16"/>
              </w:rPr>
              <w:t>e</w:t>
            </w:r>
            <w:r>
              <w:rPr>
                <w:rFonts w:ascii="Arial-BoldMT" w:hAnsi="Arial-BoldMT"/>
                <w:b w:val="0"/>
                <w:bCs w:val="0"/>
                <w:color w:val="000000"/>
                <w:sz w:val="16"/>
                <w:szCs w:val="16"/>
              </w:rPr>
              <w:t xml:space="preserve"> traveled (m)</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32</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43</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67</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116</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213</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408</w:t>
            </w:r>
          </w:p>
        </w:tc>
      </w:tr>
    </w:tbl>
    <w:p>
      <w:pPr>
        <w:rPr>
          <w:rFonts w:hint="default"/>
          <w:lang w:val="en-US" w:eastAsia="zh-CN"/>
        </w:rPr>
      </w:pPr>
      <w:r>
        <w:rPr>
          <w:rFonts w:hint="eastAsia"/>
          <w:lang w:val="en-US" w:eastAsia="zh-CN"/>
        </w:rPr>
        <w:t>With the general assumption that:</w:t>
      </w:r>
    </w:p>
    <w:p>
      <w:pPr>
        <w:pStyle w:val="27"/>
        <w:numPr>
          <w:ilvl w:val="0"/>
          <w:numId w:val="0"/>
        </w:numPr>
        <w:tabs>
          <w:tab w:val="left" w:pos="1276"/>
        </w:tabs>
        <w:ind w:leftChars="100"/>
        <w:jc w:val="both"/>
        <w:rPr>
          <w:bCs/>
          <w:sz w:val="20"/>
          <w:szCs w:val="20"/>
          <w:lang w:val="en-GB"/>
        </w:rPr>
      </w:pPr>
      <w:r>
        <w:rPr>
          <w:bCs/>
          <w:sz w:val="20"/>
          <w:szCs w:val="20"/>
          <w:lang w:val="en-GB"/>
        </w:rPr>
        <w:t>T</w:t>
      </w:r>
      <w:r>
        <w:rPr>
          <w:bCs/>
          <w:sz w:val="20"/>
          <w:szCs w:val="20"/>
          <w:vertAlign w:val="subscript"/>
          <w:lang w:val="en-GB"/>
        </w:rPr>
        <w:t>∆</w:t>
      </w:r>
      <w:r>
        <w:rPr>
          <w:bCs/>
          <w:sz w:val="20"/>
          <w:szCs w:val="20"/>
          <w:lang w:val="en-GB"/>
        </w:rPr>
        <w:t xml:space="preserve"> = T</w:t>
      </w:r>
      <w:r>
        <w:rPr>
          <w:bCs/>
          <w:sz w:val="20"/>
          <w:szCs w:val="20"/>
          <w:vertAlign w:val="subscript"/>
          <w:lang w:val="en-GB"/>
        </w:rPr>
        <w:t>rs</w:t>
      </w:r>
      <w:r>
        <w:rPr>
          <w:bCs/>
          <w:sz w:val="20"/>
          <w:szCs w:val="20"/>
          <w:lang w:val="en-GB"/>
        </w:rPr>
        <w:t>, T</w:t>
      </w:r>
      <w:r>
        <w:rPr>
          <w:bCs/>
          <w:sz w:val="20"/>
          <w:szCs w:val="20"/>
          <w:vertAlign w:val="subscript"/>
          <w:lang w:val="en-GB"/>
        </w:rPr>
        <w:t>rs</w:t>
      </w:r>
      <w:r>
        <w:rPr>
          <w:bCs/>
          <w:sz w:val="20"/>
          <w:szCs w:val="20"/>
          <w:lang w:val="en-GB"/>
        </w:rPr>
        <w:t xml:space="preserve"> is T</w:t>
      </w:r>
      <w:r>
        <w:rPr>
          <w:bCs/>
          <w:sz w:val="20"/>
          <w:szCs w:val="20"/>
          <w:vertAlign w:val="subscript"/>
          <w:lang w:val="en-GB"/>
        </w:rPr>
        <w:t>SMTC</w:t>
      </w:r>
    </w:p>
    <w:p>
      <w:pPr>
        <w:pStyle w:val="27"/>
        <w:numPr>
          <w:ilvl w:val="0"/>
          <w:numId w:val="0"/>
        </w:numPr>
        <w:tabs>
          <w:tab w:val="left" w:pos="1276"/>
        </w:tabs>
        <w:ind w:leftChars="100"/>
        <w:jc w:val="both"/>
        <w:rPr>
          <w:bCs/>
          <w:sz w:val="20"/>
          <w:szCs w:val="20"/>
        </w:rPr>
      </w:pPr>
      <w:r>
        <w:rPr>
          <w:bCs/>
          <w:sz w:val="20"/>
          <w:szCs w:val="20"/>
          <w:lang w:val="en-GB"/>
        </w:rPr>
        <w:t>T</w:t>
      </w:r>
      <w:r>
        <w:rPr>
          <w:bCs/>
          <w:sz w:val="20"/>
          <w:szCs w:val="20"/>
          <w:vertAlign w:val="subscript"/>
          <w:lang w:val="en-GB"/>
        </w:rPr>
        <w:t xml:space="preserve">IU,max </w:t>
      </w:r>
      <w:r>
        <w:rPr>
          <w:bCs/>
          <w:sz w:val="20"/>
          <w:szCs w:val="20"/>
          <w:lang w:val="en-GB"/>
        </w:rPr>
        <w:t>= (160 + 10) ms</w:t>
      </w:r>
    </w:p>
    <w:p>
      <w:pPr>
        <w:pStyle w:val="27"/>
        <w:numPr>
          <w:ilvl w:val="0"/>
          <w:numId w:val="0"/>
        </w:numPr>
        <w:tabs>
          <w:tab w:val="left" w:pos="1276"/>
        </w:tabs>
        <w:ind w:leftChars="100"/>
        <w:jc w:val="both"/>
        <w:rPr>
          <w:bCs/>
          <w:sz w:val="20"/>
          <w:szCs w:val="20"/>
        </w:rPr>
      </w:pPr>
      <w:r>
        <w:rPr>
          <w:bCs/>
          <w:sz w:val="20"/>
          <w:szCs w:val="20"/>
          <w:lang w:val="en-GB"/>
        </w:rPr>
        <w:t>T</w:t>
      </w:r>
      <w:r>
        <w:rPr>
          <w:bCs/>
          <w:sz w:val="20"/>
          <w:szCs w:val="20"/>
          <w:vertAlign w:val="subscript"/>
          <w:lang w:val="en-GB"/>
        </w:rPr>
        <w:t>processing</w:t>
      </w:r>
      <w:r>
        <w:rPr>
          <w:bCs/>
          <w:sz w:val="20"/>
          <w:szCs w:val="20"/>
          <w:lang w:val="en-GB"/>
        </w:rPr>
        <w:t xml:space="preserve"> = 20ms</w:t>
      </w:r>
      <w:r>
        <w:rPr>
          <w:rFonts w:hint="eastAsia"/>
          <w:bCs/>
          <w:sz w:val="20"/>
          <w:szCs w:val="20"/>
          <w:lang w:val="en-US" w:eastAsia="zh-CN"/>
        </w:rPr>
        <w:t xml:space="preserve">, </w:t>
      </w:r>
      <w:r>
        <w:rPr>
          <w:bCs/>
          <w:sz w:val="20"/>
          <w:szCs w:val="20"/>
          <w:lang w:val="en-GB"/>
        </w:rPr>
        <w:t>T</w:t>
      </w:r>
      <w:r>
        <w:rPr>
          <w:bCs/>
          <w:sz w:val="20"/>
          <w:szCs w:val="20"/>
          <w:vertAlign w:val="subscript"/>
          <w:lang w:val="en-GB"/>
        </w:rPr>
        <w:t>margin</w:t>
      </w:r>
      <w:r>
        <w:rPr>
          <w:bCs/>
          <w:sz w:val="20"/>
          <w:szCs w:val="20"/>
          <w:lang w:val="en-GB"/>
        </w:rPr>
        <w:t xml:space="preserve"> = 2ms</w:t>
      </w:r>
    </w:p>
    <w:p>
      <w:pPr>
        <w:pStyle w:val="27"/>
        <w:numPr>
          <w:ilvl w:val="0"/>
          <w:numId w:val="0"/>
        </w:numPr>
        <w:tabs>
          <w:tab w:val="left" w:pos="1276"/>
        </w:tabs>
        <w:ind w:leftChars="100"/>
        <w:jc w:val="both"/>
        <w:rPr>
          <w:bCs/>
          <w:sz w:val="20"/>
          <w:szCs w:val="20"/>
        </w:rPr>
      </w:pPr>
      <w:r>
        <w:rPr>
          <w:bCs/>
          <w:sz w:val="20"/>
          <w:szCs w:val="20"/>
        </w:rPr>
        <w:t>T</w:t>
      </w:r>
      <w:r>
        <w:rPr>
          <w:bCs/>
          <w:sz w:val="20"/>
          <w:szCs w:val="20"/>
          <w:vertAlign w:val="subscript"/>
        </w:rPr>
        <w:t>RRC_delay</w:t>
      </w:r>
      <w:r>
        <w:rPr>
          <w:bCs/>
          <w:sz w:val="20"/>
          <w:szCs w:val="20"/>
        </w:rPr>
        <w:t xml:space="preserve"> =16ms</w:t>
      </w:r>
    </w:p>
    <w:p>
      <w:pPr>
        <w:rPr>
          <w:rFonts w:hint="eastAsia"/>
          <w:lang w:val="en-US" w:eastAsia="zh-CN"/>
        </w:rPr>
      </w:pPr>
      <w:r>
        <w:rPr>
          <w:rFonts w:hint="eastAsia"/>
          <w:lang w:val="en-US" w:eastAsia="zh-CN"/>
        </w:rPr>
        <w:t>Reducing scaling factor into N=1, then the corresponding intra-frequency handover delay and inter-frequency handover delay are shown as in Table 3 and Table 4.</w:t>
      </w:r>
    </w:p>
    <w:p>
      <w:pPr>
        <w:numPr>
          <w:ilvl w:val="0"/>
          <w:numId w:val="0"/>
        </w:numPr>
        <w:ind w:leftChars="0"/>
        <w:jc w:val="center"/>
        <w:rPr>
          <w:rFonts w:hint="default"/>
          <w:szCs w:val="24"/>
          <w:lang w:val="en-US" w:eastAsia="zh-CN"/>
        </w:rPr>
      </w:pPr>
      <w:r>
        <w:rPr>
          <w:rFonts w:hint="eastAsia"/>
          <w:szCs w:val="24"/>
          <w:lang w:val="en-US" w:eastAsia="zh-CN"/>
        </w:rPr>
        <w:t>Table 3  Intra-frequency handover for N=1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1"/>
        <w:gridCol w:w="1183"/>
        <w:gridCol w:w="1183"/>
        <w:gridCol w:w="1183"/>
        <w:gridCol w:w="1184"/>
        <w:gridCol w:w="1184"/>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891" w:type="dxa"/>
            <w:vAlign w:val="center"/>
          </w:tcPr>
          <w:p>
            <w:pPr>
              <w:tabs>
                <w:tab w:val="left" w:pos="1276"/>
              </w:tabs>
              <w:spacing w:before="0" w:after="0" w:line="240" w:lineRule="exact"/>
              <w:jc w:val="center"/>
              <w:rPr>
                <w:rFonts w:hint="eastAsia" w:ascii="Arial-BoldMT" w:hAnsi="Arial-BoldMT"/>
                <w:b/>
                <w:bCs/>
                <w:color w:val="000000"/>
                <w:sz w:val="16"/>
                <w:szCs w:val="16"/>
              </w:rPr>
            </w:pPr>
            <w:r>
              <w:rPr>
                <w:rFonts w:ascii="Arial-BoldMT" w:hAnsi="Arial-BoldMT"/>
                <w:b w:val="0"/>
                <w:bCs w:val="0"/>
                <w:color w:val="000000"/>
                <w:sz w:val="16"/>
                <w:szCs w:val="16"/>
              </w:rPr>
              <w:t>T</w:t>
            </w:r>
            <w:r>
              <w:rPr>
                <w:rFonts w:ascii="Arial-BoldMT" w:hAnsi="Arial-BoldMT"/>
                <w:b w:val="0"/>
                <w:bCs w:val="0"/>
                <w:color w:val="000000"/>
                <w:sz w:val="16"/>
                <w:szCs w:val="16"/>
                <w:vertAlign w:val="subscript"/>
              </w:rPr>
              <w:t>SMTC</w:t>
            </w:r>
            <w:r>
              <w:rPr>
                <w:rFonts w:ascii="Arial-BoldMT" w:hAnsi="Arial-BoldMT"/>
                <w:b w:val="0"/>
                <w:bCs w:val="0"/>
                <w:color w:val="000000"/>
                <w:sz w:val="16"/>
                <w:szCs w:val="16"/>
              </w:rPr>
              <w:t>, ms</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5</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10</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20</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40</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80</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891" w:type="dxa"/>
            <w:vAlign w:val="center"/>
          </w:tcPr>
          <w:p>
            <w:pPr>
              <w:tabs>
                <w:tab w:val="left" w:pos="1276"/>
              </w:tabs>
              <w:spacing w:before="0" w:after="0" w:line="240" w:lineRule="exact"/>
              <w:jc w:val="center"/>
              <w:rPr>
                <w:rFonts w:hint="eastAsia" w:ascii="Arial-BoldMT" w:hAnsi="Arial-BoldMT"/>
                <w:b/>
                <w:bCs/>
                <w:color w:val="000000"/>
                <w:sz w:val="16"/>
                <w:szCs w:val="16"/>
              </w:rPr>
            </w:pPr>
            <w:r>
              <w:rPr>
                <w:rFonts w:ascii="Arial-BoldMT" w:hAnsi="Arial-BoldMT"/>
                <w:b w:val="0"/>
                <w:bCs w:val="0"/>
                <w:color w:val="000000"/>
                <w:sz w:val="16"/>
                <w:szCs w:val="16"/>
              </w:rPr>
              <w:t>D</w:t>
            </w:r>
            <w:r>
              <w:rPr>
                <w:rFonts w:ascii="Arial-BoldMT" w:hAnsi="Arial-BoldMT"/>
                <w:b w:val="0"/>
                <w:bCs w:val="0"/>
                <w:color w:val="000000"/>
                <w:sz w:val="16"/>
                <w:szCs w:val="16"/>
                <w:vertAlign w:val="subscript"/>
              </w:rPr>
              <w:t>handover</w:t>
            </w:r>
            <w:r>
              <w:rPr>
                <w:rFonts w:ascii="Arial-BoldMT" w:hAnsi="Arial-BoldMT"/>
                <w:b w:val="0"/>
                <w:bCs w:val="0"/>
                <w:color w:val="000000"/>
                <w:sz w:val="16"/>
                <w:szCs w:val="16"/>
              </w:rPr>
              <w:t>, ms</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rPr>
            </w:pPr>
            <w:r>
              <w:rPr>
                <w:rFonts w:hint="eastAsia" w:ascii="Calibri" w:hAnsi="Calibri" w:cs="Calibri"/>
                <w:color w:val="000000"/>
                <w:sz w:val="18"/>
                <w:szCs w:val="18"/>
                <w:lang w:val="en-US" w:eastAsia="zh-CN"/>
              </w:rPr>
              <w:t>218</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21</w:t>
            </w:r>
            <w:r>
              <w:rPr>
                <w:rFonts w:ascii="Calibri" w:hAnsi="Calibri" w:cs="Calibri"/>
                <w:color w:val="000000"/>
                <w:sz w:val="18"/>
                <w:szCs w:val="18"/>
              </w:rPr>
              <w:t>2</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23</w:t>
            </w:r>
            <w:r>
              <w:rPr>
                <w:rFonts w:ascii="Calibri" w:hAnsi="Calibri" w:cs="Calibri"/>
                <w:color w:val="000000"/>
                <w:sz w:val="18"/>
                <w:szCs w:val="18"/>
              </w:rPr>
              <w:t>2</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27</w:t>
            </w:r>
            <w:r>
              <w:rPr>
                <w:rFonts w:ascii="Calibri" w:hAnsi="Calibri" w:cs="Calibri"/>
                <w:color w:val="000000"/>
                <w:sz w:val="18"/>
                <w:szCs w:val="18"/>
              </w:rPr>
              <w:t>2</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35</w:t>
            </w:r>
            <w:r>
              <w:rPr>
                <w:rFonts w:ascii="Calibri" w:hAnsi="Calibri" w:cs="Calibri"/>
                <w:color w:val="000000"/>
                <w:sz w:val="18"/>
                <w:szCs w:val="18"/>
              </w:rPr>
              <w:t>2</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51</w:t>
            </w:r>
            <w:r>
              <w:rPr>
                <w:rFonts w:ascii="Calibri" w:hAnsi="Calibri" w:cs="Calibri"/>
                <w:color w:val="00000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891" w:type="dxa"/>
            <w:vAlign w:val="center"/>
          </w:tcPr>
          <w:p>
            <w:pPr>
              <w:tabs>
                <w:tab w:val="left" w:pos="1276"/>
              </w:tabs>
              <w:spacing w:before="0" w:after="0" w:line="240" w:lineRule="exact"/>
              <w:jc w:val="center"/>
              <w:rPr>
                <w:rFonts w:hint="eastAsia" w:ascii="Times-Roman" w:hAnsi="Times-Roman"/>
              </w:rPr>
            </w:pPr>
            <w:r>
              <w:rPr>
                <w:rFonts w:hint="eastAsia" w:ascii="Arial-BoldMT" w:hAnsi="Arial-BoldMT"/>
                <w:b w:val="0"/>
                <w:bCs w:val="0"/>
                <w:color w:val="000000"/>
                <w:sz w:val="16"/>
                <w:szCs w:val="16"/>
              </w:rPr>
              <w:t>D</w:t>
            </w:r>
            <w:r>
              <w:rPr>
                <w:rFonts w:ascii="Arial-BoldMT" w:hAnsi="Arial-BoldMT"/>
                <w:b w:val="0"/>
                <w:bCs w:val="0"/>
                <w:color w:val="000000"/>
                <w:sz w:val="16"/>
                <w:szCs w:val="16"/>
              </w:rPr>
              <w:t>istanc</w:t>
            </w:r>
            <w:r>
              <w:rPr>
                <w:rFonts w:hint="eastAsia" w:ascii="Arial-BoldMT" w:hAnsi="Arial-BoldMT"/>
                <w:b w:val="0"/>
                <w:bCs w:val="0"/>
                <w:color w:val="000000"/>
                <w:sz w:val="16"/>
                <w:szCs w:val="16"/>
              </w:rPr>
              <w:t>e</w:t>
            </w:r>
            <w:r>
              <w:rPr>
                <w:rFonts w:ascii="Arial-BoldMT" w:hAnsi="Arial-BoldMT"/>
                <w:b w:val="0"/>
                <w:bCs w:val="0"/>
                <w:color w:val="000000"/>
                <w:sz w:val="16"/>
                <w:szCs w:val="16"/>
              </w:rPr>
              <w:t xml:space="preserve"> traveled (m)</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21</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21</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23</w:t>
            </w:r>
          </w:p>
        </w:tc>
        <w:tc>
          <w:tcPr>
            <w:tcW w:w="1184"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26</w:t>
            </w:r>
          </w:p>
        </w:tc>
        <w:tc>
          <w:tcPr>
            <w:tcW w:w="1184"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34</w:t>
            </w:r>
          </w:p>
        </w:tc>
        <w:tc>
          <w:tcPr>
            <w:tcW w:w="1184"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50</w:t>
            </w:r>
          </w:p>
        </w:tc>
      </w:tr>
    </w:tbl>
    <w:p>
      <w:pPr>
        <w:numPr>
          <w:ilvl w:val="0"/>
          <w:numId w:val="0"/>
        </w:numPr>
        <w:ind w:leftChars="0"/>
        <w:jc w:val="center"/>
        <w:rPr>
          <w:rFonts w:hint="eastAsia"/>
          <w:szCs w:val="24"/>
          <w:lang w:val="en-US" w:eastAsia="zh-CN"/>
        </w:rPr>
      </w:pPr>
    </w:p>
    <w:p>
      <w:pPr>
        <w:numPr>
          <w:ilvl w:val="0"/>
          <w:numId w:val="0"/>
        </w:numPr>
        <w:ind w:leftChars="0"/>
        <w:jc w:val="center"/>
        <w:rPr>
          <w:rFonts w:hint="default"/>
          <w:szCs w:val="24"/>
          <w:lang w:val="en-US" w:eastAsia="zh-CN"/>
        </w:rPr>
      </w:pPr>
      <w:r>
        <w:rPr>
          <w:rFonts w:hint="eastAsia"/>
          <w:szCs w:val="24"/>
          <w:lang w:val="en-US" w:eastAsia="zh-CN"/>
        </w:rPr>
        <w:t>Table4  Inter-frequency handover for N=1</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1"/>
        <w:gridCol w:w="1183"/>
        <w:gridCol w:w="1183"/>
        <w:gridCol w:w="1183"/>
        <w:gridCol w:w="1184"/>
        <w:gridCol w:w="1184"/>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 w:hRule="atLeast"/>
        </w:trPr>
        <w:tc>
          <w:tcPr>
            <w:tcW w:w="1891" w:type="dxa"/>
            <w:vAlign w:val="center"/>
          </w:tcPr>
          <w:p>
            <w:pPr>
              <w:tabs>
                <w:tab w:val="left" w:pos="1276"/>
              </w:tabs>
              <w:spacing w:before="0" w:after="0" w:line="240" w:lineRule="exact"/>
              <w:jc w:val="center"/>
              <w:rPr>
                <w:rFonts w:hint="eastAsia" w:ascii="Arial-BoldMT" w:hAnsi="Arial-BoldMT"/>
                <w:b/>
                <w:bCs/>
                <w:color w:val="000000"/>
                <w:sz w:val="16"/>
                <w:szCs w:val="16"/>
              </w:rPr>
            </w:pPr>
            <w:r>
              <w:rPr>
                <w:rFonts w:ascii="Arial-BoldMT" w:hAnsi="Arial-BoldMT"/>
                <w:b w:val="0"/>
                <w:bCs w:val="0"/>
                <w:color w:val="000000"/>
                <w:sz w:val="16"/>
                <w:szCs w:val="16"/>
              </w:rPr>
              <w:t>T</w:t>
            </w:r>
            <w:r>
              <w:rPr>
                <w:rFonts w:ascii="Arial-BoldMT" w:hAnsi="Arial-BoldMT"/>
                <w:b w:val="0"/>
                <w:bCs w:val="0"/>
                <w:color w:val="000000"/>
                <w:sz w:val="16"/>
                <w:szCs w:val="16"/>
                <w:vertAlign w:val="subscript"/>
              </w:rPr>
              <w:t>SMTC</w:t>
            </w:r>
            <w:r>
              <w:rPr>
                <w:rFonts w:ascii="Arial-BoldMT" w:hAnsi="Arial-BoldMT"/>
                <w:b w:val="0"/>
                <w:bCs w:val="0"/>
                <w:color w:val="000000"/>
                <w:sz w:val="16"/>
                <w:szCs w:val="16"/>
              </w:rPr>
              <w:t>, ms</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5</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10</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20</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40</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80</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ascii="Calibri" w:hAnsi="Calibri" w:cs="Calibri"/>
                <w:color w:val="000000"/>
                <w:sz w:val="18"/>
                <w:szCs w:val="18"/>
              </w:rPr>
              <w:t>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891" w:type="dxa"/>
            <w:vAlign w:val="center"/>
          </w:tcPr>
          <w:p>
            <w:pPr>
              <w:tabs>
                <w:tab w:val="left" w:pos="1276"/>
              </w:tabs>
              <w:spacing w:before="0" w:after="0" w:line="240" w:lineRule="exact"/>
              <w:jc w:val="center"/>
              <w:rPr>
                <w:rFonts w:hint="eastAsia" w:ascii="Arial-BoldMT" w:hAnsi="Arial-BoldMT"/>
                <w:b/>
                <w:bCs/>
                <w:color w:val="000000"/>
                <w:sz w:val="16"/>
                <w:szCs w:val="16"/>
              </w:rPr>
            </w:pPr>
            <w:r>
              <w:rPr>
                <w:rFonts w:ascii="Arial-BoldMT" w:hAnsi="Arial-BoldMT"/>
                <w:b w:val="0"/>
                <w:bCs w:val="0"/>
                <w:color w:val="000000"/>
                <w:sz w:val="16"/>
                <w:szCs w:val="16"/>
              </w:rPr>
              <w:t>D</w:t>
            </w:r>
            <w:r>
              <w:rPr>
                <w:rFonts w:ascii="Arial-BoldMT" w:hAnsi="Arial-BoldMT"/>
                <w:b w:val="0"/>
                <w:bCs w:val="0"/>
                <w:color w:val="000000"/>
                <w:sz w:val="16"/>
                <w:szCs w:val="16"/>
                <w:vertAlign w:val="subscript"/>
              </w:rPr>
              <w:t>handover</w:t>
            </w:r>
            <w:r>
              <w:rPr>
                <w:rFonts w:ascii="Arial-BoldMT" w:hAnsi="Arial-BoldMT"/>
                <w:b w:val="0"/>
                <w:bCs w:val="0"/>
                <w:color w:val="000000"/>
                <w:sz w:val="16"/>
                <w:szCs w:val="16"/>
              </w:rPr>
              <w:t>, ms</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228</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232</w:t>
            </w:r>
          </w:p>
        </w:tc>
        <w:tc>
          <w:tcPr>
            <w:tcW w:w="1183"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27</w:t>
            </w:r>
            <w:r>
              <w:rPr>
                <w:rFonts w:ascii="Calibri" w:hAnsi="Calibri" w:cs="Calibri"/>
                <w:color w:val="000000"/>
                <w:sz w:val="18"/>
                <w:szCs w:val="18"/>
              </w:rPr>
              <w:t>2</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35</w:t>
            </w:r>
            <w:r>
              <w:rPr>
                <w:rFonts w:ascii="Calibri" w:hAnsi="Calibri" w:cs="Calibri"/>
                <w:color w:val="000000"/>
                <w:sz w:val="18"/>
                <w:szCs w:val="18"/>
              </w:rPr>
              <w:t>2</w:t>
            </w:r>
          </w:p>
        </w:tc>
        <w:tc>
          <w:tcPr>
            <w:tcW w:w="1184" w:type="dxa"/>
            <w:vAlign w:val="bottom"/>
          </w:tcPr>
          <w:p>
            <w:pPr>
              <w:tabs>
                <w:tab w:val="left" w:pos="1276"/>
              </w:tabs>
              <w:spacing w:before="0" w:after="0" w:line="240" w:lineRule="exact"/>
              <w:jc w:val="center"/>
              <w:rPr>
                <w:rFonts w:ascii="Calibri" w:hAnsi="Calibri" w:cs="Calibri"/>
                <w:color w:val="000000"/>
                <w:sz w:val="18"/>
                <w:szCs w:val="18"/>
              </w:rPr>
            </w:pPr>
            <w:r>
              <w:rPr>
                <w:rFonts w:hint="eastAsia" w:ascii="Calibri" w:hAnsi="Calibri" w:cs="Calibri"/>
                <w:color w:val="000000"/>
                <w:sz w:val="18"/>
                <w:szCs w:val="18"/>
                <w:lang w:val="en-US" w:eastAsia="zh-CN"/>
              </w:rPr>
              <w:t>51</w:t>
            </w:r>
            <w:r>
              <w:rPr>
                <w:rFonts w:ascii="Calibri" w:hAnsi="Calibri" w:cs="Calibri"/>
                <w:color w:val="000000"/>
                <w:sz w:val="18"/>
                <w:szCs w:val="18"/>
              </w:rPr>
              <w:t>2</w:t>
            </w:r>
          </w:p>
        </w:tc>
        <w:tc>
          <w:tcPr>
            <w:tcW w:w="1184"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832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 w:hRule="atLeast"/>
        </w:trPr>
        <w:tc>
          <w:tcPr>
            <w:tcW w:w="1891" w:type="dxa"/>
            <w:vAlign w:val="center"/>
          </w:tcPr>
          <w:p>
            <w:pPr>
              <w:tabs>
                <w:tab w:val="left" w:pos="1276"/>
              </w:tabs>
              <w:spacing w:before="0" w:after="0" w:line="240" w:lineRule="exact"/>
              <w:jc w:val="center"/>
              <w:rPr>
                <w:rFonts w:hint="eastAsia" w:ascii="Times-Roman" w:hAnsi="Times-Roman"/>
              </w:rPr>
            </w:pPr>
            <w:r>
              <w:rPr>
                <w:rFonts w:hint="eastAsia" w:ascii="Arial-BoldMT" w:hAnsi="Arial-BoldMT"/>
                <w:b w:val="0"/>
                <w:bCs w:val="0"/>
                <w:color w:val="000000"/>
                <w:sz w:val="16"/>
                <w:szCs w:val="16"/>
              </w:rPr>
              <w:t>D</w:t>
            </w:r>
            <w:r>
              <w:rPr>
                <w:rFonts w:ascii="Arial-BoldMT" w:hAnsi="Arial-BoldMT"/>
                <w:b w:val="0"/>
                <w:bCs w:val="0"/>
                <w:color w:val="000000"/>
                <w:sz w:val="16"/>
                <w:szCs w:val="16"/>
              </w:rPr>
              <w:t>istanc</w:t>
            </w:r>
            <w:r>
              <w:rPr>
                <w:rFonts w:hint="eastAsia" w:ascii="Arial-BoldMT" w:hAnsi="Arial-BoldMT"/>
                <w:b w:val="0"/>
                <w:bCs w:val="0"/>
                <w:color w:val="000000"/>
                <w:sz w:val="16"/>
                <w:szCs w:val="16"/>
              </w:rPr>
              <w:t>e</w:t>
            </w:r>
            <w:r>
              <w:rPr>
                <w:rFonts w:ascii="Arial-BoldMT" w:hAnsi="Arial-BoldMT"/>
                <w:b w:val="0"/>
                <w:bCs w:val="0"/>
                <w:color w:val="000000"/>
                <w:sz w:val="16"/>
                <w:szCs w:val="16"/>
              </w:rPr>
              <w:t xml:space="preserve"> traveled (m)</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22</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23</w:t>
            </w:r>
          </w:p>
        </w:tc>
        <w:tc>
          <w:tcPr>
            <w:tcW w:w="1183"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26</w:t>
            </w:r>
          </w:p>
        </w:tc>
        <w:tc>
          <w:tcPr>
            <w:tcW w:w="1184"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34</w:t>
            </w:r>
          </w:p>
        </w:tc>
        <w:tc>
          <w:tcPr>
            <w:tcW w:w="1184"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50</w:t>
            </w:r>
          </w:p>
        </w:tc>
        <w:tc>
          <w:tcPr>
            <w:tcW w:w="1184" w:type="dxa"/>
            <w:vAlign w:val="bottom"/>
          </w:tcPr>
          <w:p>
            <w:pPr>
              <w:tabs>
                <w:tab w:val="left" w:pos="1276"/>
              </w:tabs>
              <w:spacing w:before="0" w:after="0" w:line="240" w:lineRule="exact"/>
              <w:jc w:val="center"/>
              <w:rPr>
                <w:rFonts w:hint="default" w:ascii="Calibri" w:hAnsi="Calibri" w:cs="Calibri"/>
                <w:color w:val="000000"/>
                <w:sz w:val="18"/>
                <w:szCs w:val="18"/>
                <w:lang w:val="en-US" w:eastAsia="zh-CN"/>
              </w:rPr>
            </w:pPr>
            <w:r>
              <w:rPr>
                <w:rFonts w:hint="eastAsia" w:ascii="Calibri" w:hAnsi="Calibri" w:cs="Calibri"/>
                <w:color w:val="000000"/>
                <w:sz w:val="18"/>
                <w:szCs w:val="18"/>
                <w:lang w:val="en-US" w:eastAsia="zh-CN"/>
              </w:rPr>
              <w:t>81</w:t>
            </w:r>
          </w:p>
        </w:tc>
      </w:tr>
    </w:tbl>
    <w:p>
      <w:pPr>
        <w:keepNext w:val="0"/>
        <w:keepLines w:val="0"/>
        <w:pageBreakBefore w:val="0"/>
        <w:widowControl/>
        <w:kinsoku/>
        <w:wordWrap/>
        <w:overflowPunct/>
        <w:topLinePunct w:val="0"/>
        <w:autoSpaceDE/>
        <w:autoSpaceDN/>
        <w:bidi w:val="0"/>
        <w:adjustRightInd/>
        <w:snapToGrid/>
        <w:spacing w:after="120"/>
        <w:jc w:val="both"/>
        <w:textAlignment w:val="auto"/>
        <w:rPr>
          <w:rFonts w:hint="eastAsia"/>
          <w:sz w:val="20"/>
          <w:szCs w:val="20"/>
          <w:lang w:val="en-US" w:eastAsia="zh-CN"/>
        </w:rPr>
      </w:pPr>
      <w:r>
        <w:rPr>
          <w:rFonts w:hint="eastAsia"/>
          <w:sz w:val="20"/>
          <w:szCs w:val="20"/>
          <w:lang w:val="en-US" w:eastAsia="zh-CN"/>
        </w:rPr>
        <w:t xml:space="preserve">Comparing Table 1/2 with Table 3/4, it is shown that when reducing the scaling factor N, the handover process can be greatly accelerated, so as to decrease the handover delay. Hence the restriction on SMTC periodicity configuration can be alleviated, i.e. the SMTC periodicity configuration is more flexible for intra-frequency and inter-frequency measurements. </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eastAsia="宋体" w:cs="Times New Roman"/>
          <w:b/>
          <w:bCs/>
          <w:color w:val="auto"/>
          <w:sz w:val="20"/>
          <w:szCs w:val="20"/>
          <w:lang w:val="en-US" w:eastAsia="zh-CN" w:bidi="ar-SA"/>
        </w:rPr>
        <w:t>Observation 1</w:t>
      </w:r>
      <w:r>
        <w:rPr>
          <w:rFonts w:hint="eastAsia" w:ascii="Times New Roman" w:hAnsi="Times New Roman" w:eastAsia="宋体" w:cs="Times New Roman"/>
          <w:b/>
          <w:bCs/>
          <w:color w:val="auto"/>
          <w:sz w:val="20"/>
          <w:szCs w:val="20"/>
          <w:lang w:val="en-US" w:eastAsia="zh-CN" w:bidi="ar-SA"/>
        </w:rPr>
        <w:t xml:space="preserve">: The scaling factor for handover to unknown cell needs to be aligned with the conclusion from RX beam number discussion. </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sz w:val="20"/>
          <w:szCs w:val="20"/>
          <w:lang w:val="en-US" w:eastAsia="zh-CN"/>
        </w:rPr>
      </w:pPr>
      <w:r>
        <w:rPr>
          <w:rFonts w:hint="eastAsia" w:eastAsia="宋体" w:cs="Times New Roman"/>
          <w:b/>
          <w:bCs/>
          <w:color w:val="auto"/>
          <w:sz w:val="20"/>
          <w:szCs w:val="20"/>
          <w:lang w:val="en-US" w:eastAsia="zh-CN" w:bidi="ar-SA"/>
        </w:rPr>
        <w:t>Observation 2：Limits for intra-frequency/inter-frequency SMTC periodicity can be relaxed for the small scaling factor.</w:t>
      </w:r>
    </w:p>
    <w:p>
      <w:pPr>
        <w:pStyle w:val="5"/>
        <w:bidi w:val="0"/>
        <w:rPr>
          <w:rFonts w:hint="default"/>
          <w:lang w:val="en-US" w:eastAsia="zh-CN"/>
        </w:rPr>
      </w:pPr>
      <w:r>
        <w:rPr>
          <w:rFonts w:hint="eastAsia" w:ascii="Helvetica" w:hAnsi="Helvetica" w:eastAsia="MS Mincho" w:cs="Times New Roman"/>
          <w:b/>
          <w:bCs/>
          <w:iCs/>
          <w:color w:val="auto"/>
          <w:sz w:val="28"/>
          <w:szCs w:val="28"/>
          <w:lang w:val="en-US" w:eastAsia="zh-CN" w:bidi="ar-SA"/>
        </w:rPr>
        <w:t>2.1.3 RRC re-establishment</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0"/>
          <w:szCs w:val="20"/>
          <w:lang w:val="en-US" w:eastAsia="zh-CN"/>
        </w:rPr>
      </w:pPr>
      <w:r>
        <w:rPr>
          <w:rFonts w:hint="eastAsia" w:eastAsia="宋体"/>
          <w:color w:val="auto"/>
          <w:sz w:val="20"/>
          <w:szCs w:val="20"/>
          <w:lang w:val="en-US" w:eastAsia="zh-CN"/>
        </w:rPr>
        <w:t>According to chapter 6.2.1 in [2], there isn</w:t>
      </w:r>
      <w:r>
        <w:rPr>
          <w:rFonts w:hint="default" w:eastAsia="宋体"/>
          <w:color w:val="auto"/>
          <w:sz w:val="20"/>
          <w:szCs w:val="20"/>
          <w:lang w:val="en-US" w:eastAsia="zh-CN"/>
        </w:rPr>
        <w:t>’</w:t>
      </w:r>
      <w:r>
        <w:rPr>
          <w:rFonts w:hint="eastAsia" w:eastAsia="宋体"/>
          <w:color w:val="auto"/>
          <w:sz w:val="20"/>
          <w:szCs w:val="20"/>
          <w:lang w:val="en-US" w:eastAsia="zh-CN"/>
        </w:rPr>
        <w:t xml:space="preserve">t any definition of known FR2 cell. So we believe it is necessary to define criteria of known cell for FR2, including intra-frequency and inter-frequency. </w:t>
      </w:r>
    </w:p>
    <w:p>
      <w:pPr>
        <w:pStyle w:val="35"/>
      </w:pPr>
      <w:r>
        <w:t>Table 6.2.1.2.1-1:</w:t>
      </w:r>
      <w:bookmarkStart w:id="3" w:name="OLE_LINK9"/>
      <w:r>
        <w:t xml:space="preserve"> Time to identify target NR cell for RRC connection re-establishment to NR intra-frequency cell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2"/>
        <w:gridCol w:w="1816"/>
        <w:gridCol w:w="2764"/>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32"/>
              <w:rPr>
                <w:lang w:eastAsia="ko-KR"/>
              </w:rPr>
            </w:pPr>
            <w:r>
              <w:rPr>
                <w:rFonts w:cs="v4.2.0"/>
                <w:lang w:eastAsia="ko-KR"/>
              </w:rPr>
              <w:t xml:space="preserve">Serving cell </w:t>
            </w:r>
          </w:p>
        </w:tc>
        <w:tc>
          <w:tcPr>
            <w:tcW w:w="1837" w:type="dxa"/>
            <w:tcBorders>
              <w:bottom w:val="nil"/>
            </w:tcBorders>
            <w:shd w:val="clear" w:color="auto" w:fill="auto"/>
          </w:tcPr>
          <w:p>
            <w:pPr>
              <w:pStyle w:val="32"/>
              <w:rPr>
                <w:lang w:eastAsia="ko-KR"/>
              </w:rPr>
            </w:pPr>
            <w:r>
              <w:rPr>
                <w:lang w:eastAsia="ko-KR"/>
              </w:rPr>
              <w:t xml:space="preserve">FR of target NR </w:t>
            </w:r>
          </w:p>
        </w:tc>
        <w:tc>
          <w:tcPr>
            <w:tcW w:w="6176" w:type="dxa"/>
            <w:gridSpan w:val="2"/>
            <w:shd w:val="clear" w:color="auto" w:fill="auto"/>
          </w:tcPr>
          <w:p>
            <w:pPr>
              <w:pStyle w:val="32"/>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32"/>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32"/>
              <w:rPr>
                <w:lang w:eastAsia="ko-KR"/>
              </w:rPr>
            </w:pPr>
            <w:r>
              <w:rPr>
                <w:lang w:eastAsia="ko-KR"/>
              </w:rPr>
              <w:t>cell</w:t>
            </w:r>
          </w:p>
        </w:tc>
        <w:tc>
          <w:tcPr>
            <w:tcW w:w="2801" w:type="dxa"/>
            <w:tcBorders>
              <w:bottom w:val="nil"/>
            </w:tcBorders>
            <w:shd w:val="clear" w:color="auto" w:fill="auto"/>
          </w:tcPr>
          <w:p>
            <w:pPr>
              <w:pStyle w:val="32"/>
              <w:rPr>
                <w:lang w:eastAsia="ko-KR"/>
              </w:rPr>
            </w:pPr>
            <w:r>
              <w:rPr>
                <w:lang w:eastAsia="ko-KR"/>
              </w:rPr>
              <w:t>Known NR cell</w:t>
            </w:r>
          </w:p>
        </w:tc>
        <w:tc>
          <w:tcPr>
            <w:tcW w:w="3375" w:type="dxa"/>
            <w:tcBorders>
              <w:bottom w:val="nil"/>
            </w:tcBorders>
            <w:shd w:val="clear" w:color="auto" w:fill="auto"/>
          </w:tcPr>
          <w:p>
            <w:pPr>
              <w:pStyle w:val="32"/>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3"/>
              <w:rPr>
                <w:lang w:eastAsia="zh-CN"/>
              </w:rPr>
            </w:pPr>
            <w:r>
              <w:rPr>
                <w:rFonts w:hint="eastAsia" w:cs="Arial"/>
                <w:lang w:eastAsia="ko-KR"/>
              </w:rPr>
              <w:t>≥</w:t>
            </w:r>
            <w:r>
              <w:rPr>
                <w:lang w:eastAsia="ko-KR"/>
              </w:rPr>
              <w:t xml:space="preserve"> -8</w:t>
            </w:r>
          </w:p>
        </w:tc>
        <w:tc>
          <w:tcPr>
            <w:tcW w:w="1837" w:type="dxa"/>
            <w:shd w:val="clear" w:color="auto" w:fill="auto"/>
          </w:tcPr>
          <w:p>
            <w:pPr>
              <w:pStyle w:val="33"/>
              <w:rPr>
                <w:lang w:eastAsia="ko-KR"/>
              </w:rPr>
            </w:pPr>
            <w:r>
              <w:rPr>
                <w:lang w:eastAsia="ko-KR"/>
              </w:rPr>
              <w:t>FR1</w:t>
            </w:r>
          </w:p>
        </w:tc>
        <w:tc>
          <w:tcPr>
            <w:tcW w:w="2801" w:type="dxa"/>
            <w:shd w:val="clear" w:color="auto" w:fill="auto"/>
          </w:tcPr>
          <w:p>
            <w:pPr>
              <w:pStyle w:val="33"/>
            </w:pPr>
            <w:r>
              <w:t>MAX (200 ms, 5 x T</w:t>
            </w:r>
            <w:r>
              <w:rPr>
                <w:vertAlign w:val="subscript"/>
              </w:rPr>
              <w:t>SMTC</w:t>
            </w:r>
            <w:r>
              <w:t>)</w:t>
            </w:r>
          </w:p>
        </w:tc>
        <w:tc>
          <w:tcPr>
            <w:tcW w:w="3375" w:type="dxa"/>
            <w:shd w:val="clear" w:color="auto" w:fill="auto"/>
          </w:tcPr>
          <w:p>
            <w:pPr>
              <w:pStyle w:val="33"/>
            </w:pPr>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3"/>
              <w:rPr>
                <w:lang w:eastAsia="zh-CN"/>
              </w:rPr>
            </w:pPr>
            <w:r>
              <w:rPr>
                <w:rFonts w:hint="eastAsia" w:cs="Arial"/>
                <w:lang w:eastAsia="ko-KR"/>
              </w:rPr>
              <w:t>≥</w:t>
            </w:r>
            <w:r>
              <w:rPr>
                <w:lang w:eastAsia="ko-KR"/>
              </w:rPr>
              <w:t xml:space="preserve"> -8</w:t>
            </w:r>
          </w:p>
        </w:tc>
        <w:tc>
          <w:tcPr>
            <w:tcW w:w="1837" w:type="dxa"/>
            <w:shd w:val="clear" w:color="auto" w:fill="auto"/>
          </w:tcPr>
          <w:p>
            <w:pPr>
              <w:pStyle w:val="33"/>
              <w:rPr>
                <w:lang w:eastAsia="ko-KR"/>
              </w:rPr>
            </w:pPr>
            <w:r>
              <w:rPr>
                <w:lang w:eastAsia="ko-KR"/>
              </w:rPr>
              <w:t>FR2</w:t>
            </w:r>
          </w:p>
        </w:tc>
        <w:tc>
          <w:tcPr>
            <w:tcW w:w="2801" w:type="dxa"/>
            <w:shd w:val="clear" w:color="auto" w:fill="auto"/>
          </w:tcPr>
          <w:p>
            <w:pPr>
              <w:pStyle w:val="33"/>
              <w:rPr>
                <w:lang w:eastAsia="zh-CN"/>
              </w:rPr>
            </w:pPr>
            <w:r>
              <w:rPr>
                <w:lang w:eastAsia="zh-CN"/>
              </w:rPr>
              <w:t>N/A</w:t>
            </w:r>
          </w:p>
        </w:tc>
        <w:tc>
          <w:tcPr>
            <w:tcW w:w="3375" w:type="dxa"/>
            <w:shd w:val="clear" w:color="auto" w:fill="auto"/>
          </w:tcPr>
          <w:p>
            <w:pPr>
              <w:pStyle w:val="33"/>
              <w:rPr>
                <w:lang w:eastAsia="ko-KR"/>
              </w:rPr>
            </w:pPr>
            <w:r>
              <w:rPr>
                <w:lang w:eastAsia="ko-KR"/>
              </w:rPr>
              <w:t xml:space="preserve">MAX (1000 ms, </w:t>
            </w:r>
            <w:r>
              <w:rPr>
                <w:lang w:eastAsia="zh-CN"/>
              </w:rPr>
              <w:t>80</w:t>
            </w:r>
            <w:r>
              <w:rPr>
                <w:lang w:eastAsia="ko-KR"/>
              </w:rPr>
              <w:t xml:space="preserve"> 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3"/>
              <w:rPr>
                <w:lang w:eastAsia="zh-CN"/>
              </w:rPr>
            </w:pPr>
            <w:r>
              <w:rPr>
                <w:lang w:eastAsia="ko-KR"/>
              </w:rPr>
              <w:t>&lt; -8</w:t>
            </w:r>
          </w:p>
        </w:tc>
        <w:tc>
          <w:tcPr>
            <w:tcW w:w="1837" w:type="dxa"/>
            <w:shd w:val="clear" w:color="auto" w:fill="auto"/>
          </w:tcPr>
          <w:p>
            <w:pPr>
              <w:pStyle w:val="33"/>
              <w:rPr>
                <w:lang w:eastAsia="ko-KR"/>
              </w:rPr>
            </w:pPr>
            <w:r>
              <w:rPr>
                <w:lang w:eastAsia="ko-KR"/>
              </w:rPr>
              <w:t>FR1</w:t>
            </w:r>
          </w:p>
        </w:tc>
        <w:tc>
          <w:tcPr>
            <w:tcW w:w="2801" w:type="dxa"/>
            <w:shd w:val="clear" w:color="auto" w:fill="auto"/>
          </w:tcPr>
          <w:p>
            <w:pPr>
              <w:pStyle w:val="33"/>
              <w:rPr>
                <w:lang w:eastAsia="zh-CN"/>
              </w:rPr>
            </w:pPr>
            <w:r>
              <w:rPr>
                <w:lang w:eastAsia="zh-CN"/>
              </w:rPr>
              <w:t>N/A</w:t>
            </w:r>
          </w:p>
        </w:tc>
        <w:tc>
          <w:tcPr>
            <w:tcW w:w="3375" w:type="dxa"/>
            <w:shd w:val="clear" w:color="auto" w:fill="auto"/>
          </w:tcPr>
          <w:p>
            <w:pPr>
              <w:pStyle w:val="33"/>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3"/>
              <w:rPr>
                <w:lang w:eastAsia="zh-CN"/>
              </w:rPr>
            </w:pPr>
            <w:r>
              <w:rPr>
                <w:lang w:eastAsia="ko-KR"/>
              </w:rPr>
              <w:t>&lt; -8</w:t>
            </w:r>
          </w:p>
        </w:tc>
        <w:tc>
          <w:tcPr>
            <w:tcW w:w="1837" w:type="dxa"/>
            <w:shd w:val="clear" w:color="auto" w:fill="auto"/>
          </w:tcPr>
          <w:p>
            <w:pPr>
              <w:pStyle w:val="33"/>
              <w:rPr>
                <w:lang w:eastAsia="ko-KR"/>
              </w:rPr>
            </w:pPr>
            <w:r>
              <w:rPr>
                <w:lang w:eastAsia="ko-KR"/>
              </w:rPr>
              <w:t>FR2</w:t>
            </w:r>
          </w:p>
        </w:tc>
        <w:tc>
          <w:tcPr>
            <w:tcW w:w="2801" w:type="dxa"/>
            <w:shd w:val="clear" w:color="auto" w:fill="auto"/>
          </w:tcPr>
          <w:p>
            <w:pPr>
              <w:pStyle w:val="33"/>
              <w:rPr>
                <w:lang w:eastAsia="zh-CN"/>
              </w:rPr>
            </w:pPr>
            <w:r>
              <w:rPr>
                <w:lang w:eastAsia="zh-CN"/>
              </w:rPr>
              <w:t>N/A</w:t>
            </w:r>
          </w:p>
        </w:tc>
        <w:tc>
          <w:tcPr>
            <w:tcW w:w="3375" w:type="dxa"/>
            <w:shd w:val="clear" w:color="auto" w:fill="auto"/>
          </w:tcPr>
          <w:p>
            <w:pPr>
              <w:pStyle w:val="33"/>
              <w:rPr>
                <w:lang w:eastAsia="ko-KR"/>
              </w:rPr>
            </w:pPr>
            <w:bookmarkStart w:id="4" w:name="_Hlk521492617"/>
            <w:r>
              <w:rPr>
                <w:lang w:eastAsia="ko-KR"/>
              </w:rPr>
              <w:t>3520</w:t>
            </w:r>
            <w:bookmarkEnd w:id="4"/>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51"/>
              <w:rPr>
                <w:rFonts w:hint="default" w:eastAsia="宋体"/>
                <w:color w:val="0000FF"/>
                <w:sz w:val="15"/>
                <w:szCs w:val="15"/>
                <w:lang w:val="en-US"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bookmarkEnd w:id="3"/>
    </w:tbl>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1"/>
          <w:szCs w:val="21"/>
          <w:lang w:val="en-US" w:eastAsia="zh-CN"/>
        </w:rPr>
      </w:pPr>
    </w:p>
    <w:p>
      <w:pPr>
        <w:pStyle w:val="35"/>
      </w:pPr>
      <w:r>
        <w:t>Table 6.2.1.2.1-2: Time to identify target NR cell for RRC connection re-establishment to NR inter-frequency cell</w:t>
      </w:r>
    </w:p>
    <w:tbl>
      <w:tblPr>
        <w:tblStyle w:val="16"/>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32"/>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32"/>
              <w:rPr>
                <w:lang w:eastAsia="ko-KR"/>
              </w:rPr>
            </w:pPr>
            <w:r>
              <w:rPr>
                <w:lang w:eastAsia="ko-KR"/>
              </w:rPr>
              <w:t>FR of target NR cell</w:t>
            </w:r>
          </w:p>
        </w:tc>
        <w:tc>
          <w:tcPr>
            <w:tcW w:w="6246" w:type="dxa"/>
            <w:gridSpan w:val="2"/>
            <w:shd w:val="clear" w:color="auto" w:fill="auto"/>
          </w:tcPr>
          <w:p>
            <w:pPr>
              <w:pStyle w:val="32"/>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32"/>
              <w:rPr>
                <w:lang w:eastAsia="ko-KR"/>
              </w:rPr>
            </w:pPr>
          </w:p>
        </w:tc>
        <w:tc>
          <w:tcPr>
            <w:tcW w:w="1701" w:type="dxa"/>
            <w:tcBorders>
              <w:top w:val="nil"/>
            </w:tcBorders>
            <w:shd w:val="clear" w:color="auto" w:fill="auto"/>
          </w:tcPr>
          <w:p>
            <w:pPr>
              <w:pStyle w:val="32"/>
              <w:rPr>
                <w:lang w:eastAsia="ko-KR"/>
              </w:rPr>
            </w:pPr>
          </w:p>
        </w:tc>
        <w:tc>
          <w:tcPr>
            <w:tcW w:w="2835" w:type="dxa"/>
            <w:shd w:val="clear" w:color="auto" w:fill="auto"/>
          </w:tcPr>
          <w:p>
            <w:pPr>
              <w:pStyle w:val="32"/>
              <w:rPr>
                <w:lang w:eastAsia="ko-KR"/>
              </w:rPr>
            </w:pPr>
            <w:r>
              <w:rPr>
                <w:lang w:eastAsia="ko-KR"/>
              </w:rPr>
              <w:t>Known NR cell</w:t>
            </w:r>
          </w:p>
        </w:tc>
        <w:tc>
          <w:tcPr>
            <w:tcW w:w="3411" w:type="dxa"/>
          </w:tcPr>
          <w:p>
            <w:pPr>
              <w:pStyle w:val="32"/>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34"/>
              <w:rPr>
                <w:lang w:eastAsia="ko-KR"/>
              </w:rPr>
            </w:pPr>
            <w:r>
              <w:rPr>
                <w:lang w:eastAsia="ko-KR"/>
              </w:rPr>
              <w:t>FR1</w:t>
            </w:r>
          </w:p>
        </w:tc>
        <w:tc>
          <w:tcPr>
            <w:tcW w:w="2835" w:type="dxa"/>
            <w:shd w:val="clear" w:color="auto" w:fill="auto"/>
          </w:tcPr>
          <w:p>
            <w:pPr>
              <w:pStyle w:val="33"/>
            </w:pPr>
            <w:r>
              <w:t>MAX (200 ms, 6 x T</w:t>
            </w:r>
            <w:r>
              <w:rPr>
                <w:vertAlign w:val="subscript"/>
              </w:rPr>
              <w:t>SMTC, i</w:t>
            </w:r>
            <w:r>
              <w:t>)</w:t>
            </w:r>
          </w:p>
        </w:tc>
        <w:tc>
          <w:tcPr>
            <w:tcW w:w="3411" w:type="dxa"/>
            <w:shd w:val="clear" w:color="auto" w:fill="auto"/>
          </w:tcPr>
          <w:p>
            <w:pPr>
              <w:pStyle w:val="33"/>
            </w:pPr>
            <w:r>
              <w:t>MAX (800 ms, 13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34"/>
              <w:rPr>
                <w:lang w:eastAsia="ko-KR"/>
              </w:rPr>
            </w:pPr>
            <w:r>
              <w:rPr>
                <w:lang w:eastAsia="ko-KR"/>
              </w:rPr>
              <w:t>FR2</w:t>
            </w:r>
          </w:p>
        </w:tc>
        <w:tc>
          <w:tcPr>
            <w:tcW w:w="2835" w:type="dxa"/>
            <w:shd w:val="clear" w:color="auto" w:fill="auto"/>
          </w:tcPr>
          <w:p>
            <w:pPr>
              <w:pStyle w:val="33"/>
              <w:rPr>
                <w:lang w:eastAsia="zh-CN"/>
              </w:rPr>
            </w:pPr>
            <w:r>
              <w:rPr>
                <w:lang w:eastAsia="zh-CN"/>
              </w:rPr>
              <w:t>N/A</w:t>
            </w:r>
          </w:p>
        </w:tc>
        <w:tc>
          <w:tcPr>
            <w:tcW w:w="3411" w:type="dxa"/>
            <w:shd w:val="clear" w:color="auto" w:fill="auto"/>
          </w:tcPr>
          <w:p>
            <w:pPr>
              <w:pStyle w:val="33"/>
              <w:rPr>
                <w:lang w:eastAsia="ko-KR"/>
              </w:rPr>
            </w:pPr>
            <w:r>
              <w:rPr>
                <w:lang w:eastAsia="ko-KR"/>
              </w:rPr>
              <w:t xml:space="preserve">MAX (1000 ms, </w:t>
            </w:r>
            <w:r>
              <w:rPr>
                <w:lang w:eastAsia="zh-CN"/>
              </w:rPr>
              <w:t xml:space="preserve">104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lang w:eastAsia="zh-CN"/>
              </w:rPr>
            </w:pPr>
            <w:r>
              <w:rPr>
                <w:lang w:eastAsia="ko-KR"/>
              </w:rPr>
              <w:t>&lt; -8</w:t>
            </w:r>
          </w:p>
        </w:tc>
        <w:tc>
          <w:tcPr>
            <w:tcW w:w="1701" w:type="dxa"/>
            <w:shd w:val="clear" w:color="auto" w:fill="auto"/>
          </w:tcPr>
          <w:p>
            <w:pPr>
              <w:pStyle w:val="34"/>
              <w:rPr>
                <w:lang w:eastAsia="ko-KR"/>
              </w:rPr>
            </w:pPr>
            <w:r>
              <w:rPr>
                <w:lang w:eastAsia="ko-KR"/>
              </w:rPr>
              <w:t>FR1</w:t>
            </w:r>
          </w:p>
        </w:tc>
        <w:tc>
          <w:tcPr>
            <w:tcW w:w="2835" w:type="dxa"/>
            <w:shd w:val="clear" w:color="auto" w:fill="auto"/>
          </w:tcPr>
          <w:p>
            <w:pPr>
              <w:pStyle w:val="33"/>
              <w:rPr>
                <w:lang w:eastAsia="zh-CN"/>
              </w:rPr>
            </w:pPr>
            <w:r>
              <w:rPr>
                <w:lang w:eastAsia="zh-CN"/>
              </w:rPr>
              <w:t>N/A</w:t>
            </w:r>
          </w:p>
        </w:tc>
        <w:tc>
          <w:tcPr>
            <w:tcW w:w="3411" w:type="dxa"/>
            <w:shd w:val="clear" w:color="auto" w:fill="auto"/>
          </w:tcPr>
          <w:p>
            <w:pPr>
              <w:pStyle w:val="33"/>
              <w:rPr>
                <w:lang w:eastAsia="ko-KR"/>
              </w:rPr>
            </w:pPr>
            <w:bookmarkStart w:id="5" w:name="_Hlk521492632"/>
            <w:r>
              <w:t>800</w:t>
            </w:r>
            <w:bookmarkEnd w:id="5"/>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lang w:eastAsia="zh-CN"/>
              </w:rPr>
            </w:pPr>
            <w:r>
              <w:rPr>
                <w:lang w:eastAsia="ko-KR"/>
              </w:rPr>
              <w:t>&lt; -8</w:t>
            </w:r>
          </w:p>
        </w:tc>
        <w:tc>
          <w:tcPr>
            <w:tcW w:w="1701" w:type="dxa"/>
            <w:shd w:val="clear" w:color="auto" w:fill="auto"/>
          </w:tcPr>
          <w:p>
            <w:pPr>
              <w:pStyle w:val="34"/>
              <w:rPr>
                <w:lang w:eastAsia="ko-KR"/>
              </w:rPr>
            </w:pPr>
            <w:r>
              <w:rPr>
                <w:lang w:eastAsia="ko-KR"/>
              </w:rPr>
              <w:t>FR2</w:t>
            </w:r>
          </w:p>
        </w:tc>
        <w:tc>
          <w:tcPr>
            <w:tcW w:w="2835" w:type="dxa"/>
            <w:shd w:val="clear" w:color="auto" w:fill="auto"/>
          </w:tcPr>
          <w:p>
            <w:pPr>
              <w:pStyle w:val="33"/>
              <w:rPr>
                <w:lang w:eastAsia="zh-CN"/>
              </w:rPr>
            </w:pPr>
            <w:r>
              <w:rPr>
                <w:lang w:eastAsia="zh-CN"/>
              </w:rPr>
              <w:t>N/A</w:t>
            </w:r>
          </w:p>
        </w:tc>
        <w:tc>
          <w:tcPr>
            <w:tcW w:w="3411" w:type="dxa"/>
            <w:shd w:val="clear" w:color="auto" w:fill="auto"/>
          </w:tcPr>
          <w:p>
            <w:pPr>
              <w:pStyle w:val="33"/>
              <w:rPr>
                <w:lang w:eastAsia="ko-KR"/>
              </w:rPr>
            </w:pPr>
            <w:r>
              <w:rPr>
                <w:lang w:val="sv-SE" w:eastAsia="ko-KR"/>
              </w:rPr>
              <w:t>4000</w:t>
            </w:r>
            <w:r>
              <w:rPr>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33"/>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eastAsia="宋体" w:cs="Times New Roman"/>
          <w:b/>
          <w:bCs/>
          <w:color w:val="auto"/>
          <w:sz w:val="20"/>
          <w:szCs w:val="20"/>
          <w:lang w:val="en-US" w:eastAsia="zh-CN" w:bidi="ar-SA"/>
        </w:rPr>
        <w:t>3</w:t>
      </w:r>
      <w:r>
        <w:rPr>
          <w:rFonts w:hint="eastAsia" w:ascii="Times New Roman" w:hAnsi="Times New Roman" w:eastAsia="宋体" w:cs="Times New Roman"/>
          <w:b/>
          <w:bCs/>
          <w:color w:val="auto"/>
          <w:sz w:val="20"/>
          <w:szCs w:val="20"/>
          <w:lang w:val="en-US" w:eastAsia="zh-CN" w:bidi="ar-SA"/>
        </w:rPr>
        <w:t>: Define criteria of known cell for FR2.</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olor w:val="auto"/>
          <w:sz w:val="20"/>
          <w:szCs w:val="20"/>
          <w:lang w:val="en-US" w:eastAsia="zh-CN"/>
        </w:rPr>
      </w:pPr>
      <w:r>
        <w:rPr>
          <w:rFonts w:hint="eastAsia" w:eastAsia="宋体"/>
          <w:color w:val="auto"/>
          <w:sz w:val="20"/>
          <w:szCs w:val="20"/>
          <w:lang w:val="en-US" w:eastAsia="zh-CN"/>
        </w:rPr>
        <w:t xml:space="preserve">For unknown case, comparing the requirements between FR1 and FR2, from </w:t>
      </w:r>
      <w:r>
        <w:rPr>
          <w:sz w:val="20"/>
          <w:szCs w:val="20"/>
        </w:rPr>
        <w:t>10 x T</w:t>
      </w:r>
      <w:r>
        <w:rPr>
          <w:sz w:val="20"/>
          <w:szCs w:val="20"/>
          <w:vertAlign w:val="subscript"/>
        </w:rPr>
        <w:t>SMTC</w:t>
      </w:r>
      <w:r>
        <w:rPr>
          <w:rFonts w:hint="eastAsia" w:eastAsia="宋体"/>
          <w:color w:val="auto"/>
          <w:sz w:val="20"/>
          <w:szCs w:val="20"/>
          <w:lang w:val="en-US" w:eastAsia="zh-CN"/>
        </w:rPr>
        <w:t xml:space="preserve"> to </w:t>
      </w:r>
      <w:r>
        <w:rPr>
          <w:sz w:val="20"/>
          <w:szCs w:val="20"/>
          <w:lang w:eastAsia="zh-CN"/>
        </w:rPr>
        <w:t>80</w:t>
      </w:r>
      <w:r>
        <w:rPr>
          <w:sz w:val="20"/>
          <w:szCs w:val="20"/>
          <w:lang w:eastAsia="ko-KR"/>
        </w:rPr>
        <w:t xml:space="preserve"> x T</w:t>
      </w:r>
      <w:r>
        <w:rPr>
          <w:sz w:val="20"/>
          <w:szCs w:val="20"/>
          <w:vertAlign w:val="subscript"/>
          <w:lang w:eastAsia="ko-KR"/>
        </w:rPr>
        <w:t>SMTC</w:t>
      </w:r>
      <w:r>
        <w:rPr>
          <w:rFonts w:hint="eastAsia" w:eastAsia="宋体"/>
          <w:color w:val="auto"/>
          <w:sz w:val="20"/>
          <w:szCs w:val="20"/>
          <w:lang w:val="en-US" w:eastAsia="zh-CN"/>
        </w:rPr>
        <w:t xml:space="preserve">, and from </w:t>
      </w:r>
      <w:r>
        <w:rPr>
          <w:sz w:val="20"/>
          <w:szCs w:val="20"/>
        </w:rPr>
        <w:t>13 x T</w:t>
      </w:r>
      <w:r>
        <w:rPr>
          <w:sz w:val="20"/>
          <w:szCs w:val="20"/>
          <w:vertAlign w:val="subscript"/>
        </w:rPr>
        <w:t>SMTC, i</w:t>
      </w:r>
      <w:r>
        <w:rPr>
          <w:rFonts w:hint="eastAsia" w:eastAsia="宋体"/>
          <w:color w:val="auto"/>
          <w:sz w:val="20"/>
          <w:szCs w:val="20"/>
          <w:lang w:val="en-US" w:eastAsia="zh-CN"/>
        </w:rPr>
        <w:t xml:space="preserve"> to </w:t>
      </w:r>
      <w:r>
        <w:rPr>
          <w:sz w:val="20"/>
          <w:szCs w:val="20"/>
          <w:lang w:eastAsia="zh-CN"/>
        </w:rPr>
        <w:t xml:space="preserve">104 </w:t>
      </w:r>
      <w:r>
        <w:rPr>
          <w:sz w:val="20"/>
          <w:szCs w:val="20"/>
          <w:lang w:eastAsia="ko-KR"/>
        </w:rPr>
        <w:t>x T</w:t>
      </w:r>
      <w:r>
        <w:rPr>
          <w:sz w:val="20"/>
          <w:szCs w:val="20"/>
          <w:vertAlign w:val="subscript"/>
          <w:lang w:eastAsia="ko-KR"/>
        </w:rPr>
        <w:t>SMTC, i</w:t>
      </w:r>
      <w:r>
        <w:rPr>
          <w:rFonts w:hint="eastAsia" w:eastAsia="宋体"/>
          <w:color w:val="auto"/>
          <w:sz w:val="20"/>
          <w:szCs w:val="20"/>
          <w:lang w:val="en-US" w:eastAsia="zh-CN"/>
        </w:rPr>
        <w:t>, it can be shown that requirements for FR2 is based on the assumption of scaling factor N=8 in Rel-16. Once the RX beam sweep number determined for HST FR2 In the future, then the Table 6.2.1.2.1-1 can be modified as Table 5, and the Table 6.2.1.2.1-2 can be modified as Table 6. Where N means the updated scaling factor.</w:t>
      </w:r>
    </w:p>
    <w:p>
      <w:pPr>
        <w:numPr>
          <w:ilvl w:val="0"/>
          <w:numId w:val="0"/>
        </w:numPr>
        <w:ind w:leftChars="0"/>
        <w:jc w:val="center"/>
        <w:rPr>
          <w:rFonts w:hint="default"/>
          <w:szCs w:val="24"/>
          <w:lang w:val="en-US" w:eastAsia="zh-CN"/>
        </w:rPr>
      </w:pPr>
      <w:r>
        <w:rPr>
          <w:rFonts w:hint="eastAsia"/>
          <w:szCs w:val="24"/>
          <w:lang w:val="en-US" w:eastAsia="zh-CN"/>
        </w:rPr>
        <w:t>Table 5 Time to identify target NR cell for RRC connection re-establishment to NR intra-frequency cell</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2"/>
        <w:gridCol w:w="1816"/>
        <w:gridCol w:w="2764"/>
        <w:gridCol w:w="33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Borders>
              <w:bottom w:val="nil"/>
            </w:tcBorders>
            <w:shd w:val="clear" w:color="auto" w:fill="auto"/>
          </w:tcPr>
          <w:p>
            <w:pPr>
              <w:pStyle w:val="32"/>
              <w:rPr>
                <w:lang w:eastAsia="ko-KR"/>
              </w:rPr>
            </w:pPr>
            <w:r>
              <w:rPr>
                <w:rFonts w:cs="v4.2.0"/>
                <w:lang w:eastAsia="ko-KR"/>
              </w:rPr>
              <w:t xml:space="preserve">Serving cell </w:t>
            </w:r>
          </w:p>
        </w:tc>
        <w:tc>
          <w:tcPr>
            <w:tcW w:w="1837" w:type="dxa"/>
            <w:tcBorders>
              <w:bottom w:val="nil"/>
            </w:tcBorders>
            <w:shd w:val="clear" w:color="auto" w:fill="auto"/>
          </w:tcPr>
          <w:p>
            <w:pPr>
              <w:pStyle w:val="32"/>
              <w:rPr>
                <w:lang w:eastAsia="ko-KR"/>
              </w:rPr>
            </w:pPr>
            <w:r>
              <w:rPr>
                <w:lang w:eastAsia="ko-KR"/>
              </w:rPr>
              <w:t xml:space="preserve">FR of target NR </w:t>
            </w:r>
          </w:p>
        </w:tc>
        <w:tc>
          <w:tcPr>
            <w:tcW w:w="6176" w:type="dxa"/>
            <w:gridSpan w:val="2"/>
            <w:shd w:val="clear" w:color="auto" w:fill="auto"/>
          </w:tcPr>
          <w:p>
            <w:pPr>
              <w:pStyle w:val="32"/>
              <w:rPr>
                <w:lang w:eastAsia="ko-KR"/>
              </w:rPr>
            </w:pPr>
            <w:r>
              <w:rPr>
                <w:lang w:eastAsia="ko-KR"/>
              </w:rPr>
              <w:t>T</w:t>
            </w:r>
            <w:r>
              <w:rPr>
                <w:vertAlign w:val="subscript"/>
                <w:lang w:eastAsia="ko-KR"/>
              </w:rPr>
              <w:t xml:space="preserve">identify_intra_NR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16" w:type="dxa"/>
            <w:tcBorders>
              <w:top w:val="nil"/>
              <w:bottom w:val="nil"/>
            </w:tcBorders>
            <w:shd w:val="clear" w:color="auto" w:fill="auto"/>
          </w:tcPr>
          <w:p>
            <w:pPr>
              <w:pStyle w:val="32"/>
              <w:rPr>
                <w:lang w:eastAsia="ko-KR"/>
              </w:rPr>
            </w:pPr>
            <w:r>
              <w:rPr>
                <w:rFonts w:cs="v4.2.0"/>
                <w:lang w:eastAsia="ko-KR"/>
              </w:rPr>
              <w:t xml:space="preserve">SSB </w:t>
            </w:r>
            <w:r>
              <w:rPr>
                <w:lang w:val="en-US"/>
              </w:rPr>
              <w:t>Ês/Iot (dB)</w:t>
            </w:r>
          </w:p>
        </w:tc>
        <w:tc>
          <w:tcPr>
            <w:tcW w:w="1837" w:type="dxa"/>
            <w:tcBorders>
              <w:top w:val="nil"/>
              <w:bottom w:val="nil"/>
            </w:tcBorders>
            <w:shd w:val="clear" w:color="auto" w:fill="auto"/>
          </w:tcPr>
          <w:p>
            <w:pPr>
              <w:pStyle w:val="32"/>
              <w:rPr>
                <w:lang w:eastAsia="ko-KR"/>
              </w:rPr>
            </w:pPr>
            <w:r>
              <w:rPr>
                <w:lang w:eastAsia="ko-KR"/>
              </w:rPr>
              <w:t>cell</w:t>
            </w:r>
          </w:p>
        </w:tc>
        <w:tc>
          <w:tcPr>
            <w:tcW w:w="2801" w:type="dxa"/>
            <w:tcBorders>
              <w:bottom w:val="nil"/>
            </w:tcBorders>
            <w:shd w:val="clear" w:color="auto" w:fill="auto"/>
          </w:tcPr>
          <w:p>
            <w:pPr>
              <w:pStyle w:val="32"/>
              <w:rPr>
                <w:lang w:eastAsia="ko-KR"/>
              </w:rPr>
            </w:pPr>
            <w:r>
              <w:rPr>
                <w:lang w:eastAsia="ko-KR"/>
              </w:rPr>
              <w:t>Known NR cell</w:t>
            </w:r>
          </w:p>
        </w:tc>
        <w:tc>
          <w:tcPr>
            <w:tcW w:w="3375" w:type="dxa"/>
            <w:tcBorders>
              <w:bottom w:val="nil"/>
            </w:tcBorders>
            <w:shd w:val="clear" w:color="auto" w:fill="auto"/>
          </w:tcPr>
          <w:p>
            <w:pPr>
              <w:pStyle w:val="32"/>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3"/>
              <w:rPr>
                <w:lang w:eastAsia="zh-CN"/>
              </w:rPr>
            </w:pPr>
            <w:r>
              <w:rPr>
                <w:rFonts w:hint="eastAsia" w:cs="Arial"/>
                <w:lang w:eastAsia="ko-KR"/>
              </w:rPr>
              <w:t>≥</w:t>
            </w:r>
            <w:r>
              <w:rPr>
                <w:lang w:eastAsia="ko-KR"/>
              </w:rPr>
              <w:t xml:space="preserve"> -8</w:t>
            </w:r>
          </w:p>
        </w:tc>
        <w:tc>
          <w:tcPr>
            <w:tcW w:w="1837" w:type="dxa"/>
            <w:shd w:val="clear" w:color="auto" w:fill="auto"/>
          </w:tcPr>
          <w:p>
            <w:pPr>
              <w:pStyle w:val="33"/>
              <w:rPr>
                <w:lang w:eastAsia="ko-KR"/>
              </w:rPr>
            </w:pPr>
            <w:r>
              <w:rPr>
                <w:lang w:eastAsia="ko-KR"/>
              </w:rPr>
              <w:t>FR1</w:t>
            </w:r>
          </w:p>
        </w:tc>
        <w:tc>
          <w:tcPr>
            <w:tcW w:w="2801" w:type="dxa"/>
            <w:shd w:val="clear" w:color="auto" w:fill="auto"/>
          </w:tcPr>
          <w:p>
            <w:pPr>
              <w:pStyle w:val="33"/>
            </w:pPr>
            <w:r>
              <w:t>MAX (200 ms, 5 x T</w:t>
            </w:r>
            <w:r>
              <w:rPr>
                <w:vertAlign w:val="subscript"/>
              </w:rPr>
              <w:t>SMTC</w:t>
            </w:r>
            <w:r>
              <w:t>)</w:t>
            </w:r>
          </w:p>
        </w:tc>
        <w:tc>
          <w:tcPr>
            <w:tcW w:w="3375" w:type="dxa"/>
            <w:shd w:val="clear" w:color="auto" w:fill="auto"/>
          </w:tcPr>
          <w:p>
            <w:pPr>
              <w:pStyle w:val="33"/>
            </w:pPr>
            <w:r>
              <w:t>MAX (800 ms, 10 x T</w:t>
            </w:r>
            <w:r>
              <w:rPr>
                <w:vertAlign w:val="subscript"/>
              </w:rPr>
              <w:t>SMTC</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shd w:val="clear" w:color="auto" w:fill="auto"/>
          </w:tcPr>
          <w:p>
            <w:pPr>
              <w:pStyle w:val="33"/>
              <w:rPr>
                <w:lang w:eastAsia="zh-CN"/>
              </w:rPr>
            </w:pPr>
            <w:r>
              <w:rPr>
                <w:rFonts w:hint="eastAsia" w:cs="Arial"/>
                <w:lang w:eastAsia="ko-KR"/>
              </w:rPr>
              <w:t>≥</w:t>
            </w:r>
            <w:r>
              <w:rPr>
                <w:lang w:eastAsia="ko-KR"/>
              </w:rPr>
              <w:t xml:space="preserve"> -8</w:t>
            </w:r>
          </w:p>
        </w:tc>
        <w:tc>
          <w:tcPr>
            <w:tcW w:w="1837" w:type="dxa"/>
            <w:shd w:val="clear" w:color="auto" w:fill="auto"/>
          </w:tcPr>
          <w:p>
            <w:pPr>
              <w:pStyle w:val="33"/>
              <w:rPr>
                <w:lang w:eastAsia="ko-KR"/>
              </w:rPr>
            </w:pPr>
            <w:r>
              <w:rPr>
                <w:lang w:eastAsia="ko-KR"/>
              </w:rPr>
              <w:t>FR2</w:t>
            </w:r>
          </w:p>
        </w:tc>
        <w:tc>
          <w:tcPr>
            <w:tcW w:w="2801" w:type="dxa"/>
            <w:shd w:val="clear" w:color="auto" w:fill="auto"/>
          </w:tcPr>
          <w:p>
            <w:pPr>
              <w:pStyle w:val="33"/>
              <w:rPr>
                <w:lang w:eastAsia="zh-CN"/>
              </w:rPr>
            </w:pPr>
            <w:r>
              <w:rPr>
                <w:lang w:eastAsia="zh-CN"/>
              </w:rPr>
              <w:t>N/A</w:t>
            </w:r>
          </w:p>
        </w:tc>
        <w:tc>
          <w:tcPr>
            <w:tcW w:w="3375" w:type="dxa"/>
            <w:shd w:val="clear" w:color="auto" w:fill="auto"/>
          </w:tcPr>
          <w:p>
            <w:pPr>
              <w:pStyle w:val="33"/>
              <w:rPr>
                <w:lang w:eastAsia="ko-KR"/>
              </w:rPr>
            </w:pPr>
            <w:r>
              <w:rPr>
                <w:lang w:eastAsia="ko-KR"/>
              </w:rPr>
              <w:t xml:space="preserve">MAX (1000 ms, </w:t>
            </w:r>
            <w:r>
              <w:rPr>
                <w:rFonts w:hint="eastAsia"/>
                <w:lang w:val="en-US" w:eastAsia="zh-CN"/>
              </w:rPr>
              <w:t>1</w:t>
            </w:r>
            <w:r>
              <w:rPr>
                <w:lang w:eastAsia="zh-CN"/>
              </w:rPr>
              <w:t>0</w:t>
            </w:r>
            <w:r>
              <w:rPr>
                <w:lang w:eastAsia="ko-KR"/>
              </w:rPr>
              <w:t xml:space="preserve"> x</w:t>
            </w:r>
            <w:r>
              <w:rPr>
                <w:rFonts w:hint="eastAsia"/>
                <w:lang w:val="en-US" w:eastAsia="zh-CN"/>
              </w:rPr>
              <w:t xml:space="preserve"> N </w:t>
            </w:r>
            <w:r>
              <w:rPr>
                <w:lang w:eastAsia="ko-KR"/>
              </w:rPr>
              <w:t>x T</w:t>
            </w:r>
            <w:r>
              <w:rPr>
                <w:vertAlign w:val="subscript"/>
                <w:lang w:eastAsia="ko-KR"/>
              </w:rPr>
              <w:t>SMTC</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3"/>
              <w:rPr>
                <w:lang w:eastAsia="zh-CN"/>
              </w:rPr>
            </w:pPr>
            <w:r>
              <w:rPr>
                <w:lang w:eastAsia="ko-KR"/>
              </w:rPr>
              <w:t>&lt; -8</w:t>
            </w:r>
          </w:p>
        </w:tc>
        <w:tc>
          <w:tcPr>
            <w:tcW w:w="1837" w:type="dxa"/>
            <w:shd w:val="clear" w:color="auto" w:fill="auto"/>
          </w:tcPr>
          <w:p>
            <w:pPr>
              <w:pStyle w:val="33"/>
              <w:rPr>
                <w:lang w:eastAsia="ko-KR"/>
              </w:rPr>
            </w:pPr>
            <w:r>
              <w:rPr>
                <w:lang w:eastAsia="ko-KR"/>
              </w:rPr>
              <w:t>FR1</w:t>
            </w:r>
          </w:p>
        </w:tc>
        <w:tc>
          <w:tcPr>
            <w:tcW w:w="2801" w:type="dxa"/>
            <w:shd w:val="clear" w:color="auto" w:fill="auto"/>
          </w:tcPr>
          <w:p>
            <w:pPr>
              <w:pStyle w:val="33"/>
              <w:rPr>
                <w:lang w:eastAsia="zh-CN"/>
              </w:rPr>
            </w:pPr>
            <w:r>
              <w:rPr>
                <w:lang w:eastAsia="zh-CN"/>
              </w:rPr>
              <w:t>N/A</w:t>
            </w:r>
          </w:p>
        </w:tc>
        <w:tc>
          <w:tcPr>
            <w:tcW w:w="3375" w:type="dxa"/>
            <w:shd w:val="clear" w:color="auto" w:fill="auto"/>
          </w:tcPr>
          <w:p>
            <w:pPr>
              <w:pStyle w:val="33"/>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6" w:type="dxa"/>
          </w:tcPr>
          <w:p>
            <w:pPr>
              <w:pStyle w:val="33"/>
              <w:rPr>
                <w:lang w:eastAsia="zh-CN"/>
              </w:rPr>
            </w:pPr>
            <w:r>
              <w:rPr>
                <w:lang w:eastAsia="ko-KR"/>
              </w:rPr>
              <w:t>&lt; -8</w:t>
            </w:r>
          </w:p>
        </w:tc>
        <w:tc>
          <w:tcPr>
            <w:tcW w:w="1837" w:type="dxa"/>
            <w:shd w:val="clear" w:color="auto" w:fill="auto"/>
          </w:tcPr>
          <w:p>
            <w:pPr>
              <w:pStyle w:val="33"/>
              <w:rPr>
                <w:lang w:eastAsia="ko-KR"/>
              </w:rPr>
            </w:pPr>
            <w:r>
              <w:rPr>
                <w:lang w:eastAsia="ko-KR"/>
              </w:rPr>
              <w:t>FR2</w:t>
            </w:r>
          </w:p>
        </w:tc>
        <w:tc>
          <w:tcPr>
            <w:tcW w:w="2801" w:type="dxa"/>
            <w:shd w:val="clear" w:color="auto" w:fill="auto"/>
          </w:tcPr>
          <w:p>
            <w:pPr>
              <w:pStyle w:val="33"/>
              <w:rPr>
                <w:lang w:eastAsia="zh-CN"/>
              </w:rPr>
            </w:pPr>
            <w:r>
              <w:rPr>
                <w:lang w:eastAsia="zh-CN"/>
              </w:rPr>
              <w:t>N/A</w:t>
            </w:r>
          </w:p>
        </w:tc>
        <w:tc>
          <w:tcPr>
            <w:tcW w:w="3375" w:type="dxa"/>
            <w:shd w:val="clear" w:color="auto" w:fill="auto"/>
          </w:tcPr>
          <w:p>
            <w:pPr>
              <w:pStyle w:val="33"/>
              <w:rPr>
                <w:lang w:eastAsia="ko-KR"/>
              </w:rPr>
            </w:pPr>
            <w:r>
              <w:rPr>
                <w:lang w:eastAsia="ko-KR"/>
              </w:rPr>
              <w:t>3520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gridSpan w:val="4"/>
          </w:tcPr>
          <w:p>
            <w:pPr>
              <w:pStyle w:val="51"/>
              <w:rPr>
                <w:rFonts w:hint="default" w:eastAsia="宋体"/>
                <w:color w:val="0000FF"/>
                <w:sz w:val="15"/>
                <w:szCs w:val="15"/>
                <w:lang w:val="en-US" w:eastAsia="zh-CN"/>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ms and serving cell SSB Ês/Iot &lt; -8 dB.</w:t>
            </w:r>
          </w:p>
        </w:tc>
      </w:tr>
    </w:tbl>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olor w:val="auto"/>
          <w:sz w:val="21"/>
          <w:szCs w:val="21"/>
          <w:lang w:val="en-US" w:eastAsia="zh-CN"/>
        </w:rPr>
      </w:pPr>
    </w:p>
    <w:p>
      <w:pPr>
        <w:numPr>
          <w:ilvl w:val="0"/>
          <w:numId w:val="0"/>
        </w:numPr>
        <w:ind w:leftChars="0"/>
        <w:jc w:val="center"/>
        <w:rPr>
          <w:rFonts w:hint="default" w:eastAsia="宋体"/>
          <w:color w:val="auto"/>
          <w:sz w:val="21"/>
          <w:szCs w:val="21"/>
          <w:lang w:val="en-US" w:eastAsia="zh-CN"/>
        </w:rPr>
      </w:pPr>
      <w:r>
        <w:rPr>
          <w:rFonts w:hint="eastAsia"/>
          <w:szCs w:val="24"/>
          <w:lang w:val="en-US" w:eastAsia="zh-CN"/>
        </w:rPr>
        <w:t>Table 6 Time to identify target NR cell for RRC connection re-establishment to NR inter-frequency cell</w:t>
      </w:r>
    </w:p>
    <w:tbl>
      <w:tblPr>
        <w:tblStyle w:val="16"/>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bottom w:val="nil"/>
            </w:tcBorders>
            <w:shd w:val="clear" w:color="auto" w:fill="auto"/>
          </w:tcPr>
          <w:p>
            <w:pPr>
              <w:pStyle w:val="32"/>
              <w:rPr>
                <w:lang w:eastAsia="ko-KR"/>
              </w:rPr>
            </w:pPr>
            <w:r>
              <w:rPr>
                <w:rFonts w:cs="v4.2.0"/>
                <w:lang w:eastAsia="ko-KR"/>
              </w:rPr>
              <w:t xml:space="preserve">Serving cell SSB </w:t>
            </w:r>
            <w:r>
              <w:rPr>
                <w:lang w:val="en-US"/>
              </w:rPr>
              <w:t>Ês/Iot (dB)</w:t>
            </w:r>
          </w:p>
        </w:tc>
        <w:tc>
          <w:tcPr>
            <w:tcW w:w="1701" w:type="dxa"/>
            <w:tcBorders>
              <w:bottom w:val="nil"/>
            </w:tcBorders>
            <w:shd w:val="clear" w:color="auto" w:fill="auto"/>
          </w:tcPr>
          <w:p>
            <w:pPr>
              <w:pStyle w:val="32"/>
              <w:rPr>
                <w:lang w:eastAsia="ko-KR"/>
              </w:rPr>
            </w:pPr>
            <w:r>
              <w:rPr>
                <w:lang w:eastAsia="ko-KR"/>
              </w:rPr>
              <w:t>FR of target NR cell</w:t>
            </w:r>
          </w:p>
        </w:tc>
        <w:tc>
          <w:tcPr>
            <w:tcW w:w="6246" w:type="dxa"/>
            <w:gridSpan w:val="2"/>
            <w:shd w:val="clear" w:color="auto" w:fill="auto"/>
          </w:tcPr>
          <w:p>
            <w:pPr>
              <w:pStyle w:val="32"/>
              <w:rPr>
                <w:lang w:eastAsia="ko-KR"/>
              </w:rPr>
            </w:pPr>
            <w:r>
              <w:rPr>
                <w:lang w:eastAsia="ko-KR"/>
              </w:rPr>
              <w:t>T</w:t>
            </w:r>
            <w:r>
              <w:rPr>
                <w:vertAlign w:val="subscript"/>
                <w:lang w:eastAsia="ko-KR"/>
              </w:rPr>
              <w:t xml:space="preserve">identify_inter_NR, i </w:t>
            </w:r>
            <w:r>
              <w:rPr>
                <w:lang w:eastAsia="ko-KR"/>
              </w:rPr>
              <w:t>[ms]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Borders>
              <w:top w:val="nil"/>
            </w:tcBorders>
            <w:shd w:val="clear" w:color="auto" w:fill="auto"/>
          </w:tcPr>
          <w:p>
            <w:pPr>
              <w:pStyle w:val="32"/>
              <w:rPr>
                <w:lang w:eastAsia="ko-KR"/>
              </w:rPr>
            </w:pPr>
          </w:p>
        </w:tc>
        <w:tc>
          <w:tcPr>
            <w:tcW w:w="1701" w:type="dxa"/>
            <w:tcBorders>
              <w:top w:val="nil"/>
            </w:tcBorders>
            <w:shd w:val="clear" w:color="auto" w:fill="auto"/>
          </w:tcPr>
          <w:p>
            <w:pPr>
              <w:pStyle w:val="32"/>
              <w:rPr>
                <w:lang w:eastAsia="ko-KR"/>
              </w:rPr>
            </w:pPr>
          </w:p>
        </w:tc>
        <w:tc>
          <w:tcPr>
            <w:tcW w:w="2835" w:type="dxa"/>
            <w:shd w:val="clear" w:color="auto" w:fill="auto"/>
          </w:tcPr>
          <w:p>
            <w:pPr>
              <w:pStyle w:val="32"/>
              <w:rPr>
                <w:lang w:eastAsia="ko-KR"/>
              </w:rPr>
            </w:pPr>
            <w:r>
              <w:rPr>
                <w:lang w:eastAsia="ko-KR"/>
              </w:rPr>
              <w:t>Known NR cell</w:t>
            </w:r>
          </w:p>
        </w:tc>
        <w:tc>
          <w:tcPr>
            <w:tcW w:w="3411" w:type="dxa"/>
          </w:tcPr>
          <w:p>
            <w:pPr>
              <w:pStyle w:val="32"/>
              <w:rPr>
                <w:lang w:eastAsia="ko-KR"/>
              </w:rPr>
            </w:pPr>
            <w:r>
              <w:rPr>
                <w:lang w:eastAsia="ko-KR"/>
              </w:rPr>
              <w:t>Unknown NR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34"/>
              <w:rPr>
                <w:lang w:eastAsia="ko-KR"/>
              </w:rPr>
            </w:pPr>
            <w:r>
              <w:rPr>
                <w:lang w:eastAsia="ko-KR"/>
              </w:rPr>
              <w:t>FR1</w:t>
            </w:r>
          </w:p>
        </w:tc>
        <w:tc>
          <w:tcPr>
            <w:tcW w:w="2835" w:type="dxa"/>
            <w:shd w:val="clear" w:color="auto" w:fill="auto"/>
          </w:tcPr>
          <w:p>
            <w:pPr>
              <w:pStyle w:val="33"/>
            </w:pPr>
            <w:r>
              <w:t>MAX (200 ms, 6 x T</w:t>
            </w:r>
            <w:r>
              <w:rPr>
                <w:vertAlign w:val="subscript"/>
              </w:rPr>
              <w:t>SMTC, i</w:t>
            </w:r>
            <w:r>
              <w:t>)</w:t>
            </w:r>
          </w:p>
        </w:tc>
        <w:tc>
          <w:tcPr>
            <w:tcW w:w="3411" w:type="dxa"/>
            <w:shd w:val="clear" w:color="auto" w:fill="auto"/>
          </w:tcPr>
          <w:p>
            <w:pPr>
              <w:pStyle w:val="33"/>
            </w:pPr>
            <w:r>
              <w:t>MAX (800 ms, 13 x T</w:t>
            </w:r>
            <w:r>
              <w:rPr>
                <w:vertAlign w:val="subscript"/>
              </w:rPr>
              <w:t>SMTC, i</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lang w:eastAsia="zh-CN"/>
              </w:rPr>
            </w:pPr>
            <w:r>
              <w:rPr>
                <w:rFonts w:hint="eastAsia" w:cs="Arial"/>
                <w:lang w:eastAsia="ko-KR"/>
              </w:rPr>
              <w:t>≥</w:t>
            </w:r>
            <w:r>
              <w:rPr>
                <w:rFonts w:cs="Arial"/>
                <w:lang w:eastAsia="ko-KR"/>
              </w:rPr>
              <w:t xml:space="preserve"> </w:t>
            </w:r>
            <w:r>
              <w:rPr>
                <w:lang w:eastAsia="ko-KR"/>
              </w:rPr>
              <w:t>-8</w:t>
            </w:r>
          </w:p>
        </w:tc>
        <w:tc>
          <w:tcPr>
            <w:tcW w:w="1701" w:type="dxa"/>
            <w:shd w:val="clear" w:color="auto" w:fill="auto"/>
          </w:tcPr>
          <w:p>
            <w:pPr>
              <w:pStyle w:val="34"/>
              <w:rPr>
                <w:lang w:eastAsia="ko-KR"/>
              </w:rPr>
            </w:pPr>
            <w:r>
              <w:rPr>
                <w:lang w:eastAsia="ko-KR"/>
              </w:rPr>
              <w:t>FR2</w:t>
            </w:r>
          </w:p>
        </w:tc>
        <w:tc>
          <w:tcPr>
            <w:tcW w:w="2835" w:type="dxa"/>
            <w:shd w:val="clear" w:color="auto" w:fill="auto"/>
          </w:tcPr>
          <w:p>
            <w:pPr>
              <w:pStyle w:val="33"/>
              <w:rPr>
                <w:lang w:eastAsia="zh-CN"/>
              </w:rPr>
            </w:pPr>
            <w:r>
              <w:rPr>
                <w:lang w:eastAsia="zh-CN"/>
              </w:rPr>
              <w:t>N/A</w:t>
            </w:r>
          </w:p>
        </w:tc>
        <w:tc>
          <w:tcPr>
            <w:tcW w:w="3411" w:type="dxa"/>
            <w:shd w:val="clear" w:color="auto" w:fill="auto"/>
          </w:tcPr>
          <w:p>
            <w:pPr>
              <w:pStyle w:val="33"/>
              <w:rPr>
                <w:lang w:eastAsia="ko-KR"/>
              </w:rPr>
            </w:pPr>
            <w:r>
              <w:rPr>
                <w:lang w:eastAsia="ko-KR"/>
              </w:rPr>
              <w:t xml:space="preserve">MAX (1000 ms, </w:t>
            </w:r>
            <w:r>
              <w:rPr>
                <w:rFonts w:hint="eastAsia"/>
                <w:lang w:val="en-US" w:eastAsia="zh-CN"/>
              </w:rPr>
              <w:t>13</w:t>
            </w:r>
            <w:r>
              <w:rPr>
                <w:lang w:eastAsia="zh-CN"/>
              </w:rPr>
              <w:t xml:space="preserve"> </w:t>
            </w:r>
            <w:r>
              <w:rPr>
                <w:lang w:eastAsia="ko-KR"/>
              </w:rPr>
              <w:t>x</w:t>
            </w:r>
            <w:r>
              <w:rPr>
                <w:rFonts w:hint="eastAsia"/>
                <w:lang w:val="en-US" w:eastAsia="zh-CN"/>
              </w:rPr>
              <w:t xml:space="preserve"> N </w:t>
            </w:r>
            <w:r>
              <w:rPr>
                <w:lang w:eastAsia="ko-KR"/>
              </w:rPr>
              <w:t>x T</w:t>
            </w:r>
            <w:r>
              <w:rPr>
                <w:vertAlign w:val="subscript"/>
                <w:lang w:eastAsia="ko-KR"/>
              </w:rPr>
              <w:t>SMTC, i</w:t>
            </w:r>
            <w:r>
              <w:rPr>
                <w:lang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lang w:eastAsia="zh-CN"/>
              </w:rPr>
            </w:pPr>
            <w:r>
              <w:rPr>
                <w:lang w:eastAsia="ko-KR"/>
              </w:rPr>
              <w:t>&lt; -8</w:t>
            </w:r>
          </w:p>
        </w:tc>
        <w:tc>
          <w:tcPr>
            <w:tcW w:w="1701" w:type="dxa"/>
            <w:shd w:val="clear" w:color="auto" w:fill="auto"/>
          </w:tcPr>
          <w:p>
            <w:pPr>
              <w:pStyle w:val="34"/>
              <w:rPr>
                <w:lang w:eastAsia="ko-KR"/>
              </w:rPr>
            </w:pPr>
            <w:r>
              <w:rPr>
                <w:lang w:eastAsia="ko-KR"/>
              </w:rPr>
              <w:t>FR1</w:t>
            </w:r>
          </w:p>
        </w:tc>
        <w:tc>
          <w:tcPr>
            <w:tcW w:w="2835" w:type="dxa"/>
            <w:shd w:val="clear" w:color="auto" w:fill="auto"/>
          </w:tcPr>
          <w:p>
            <w:pPr>
              <w:pStyle w:val="33"/>
              <w:rPr>
                <w:lang w:eastAsia="zh-CN"/>
              </w:rPr>
            </w:pPr>
            <w:r>
              <w:rPr>
                <w:lang w:eastAsia="zh-CN"/>
              </w:rPr>
              <w:t>N/A</w:t>
            </w:r>
          </w:p>
        </w:tc>
        <w:tc>
          <w:tcPr>
            <w:tcW w:w="3411" w:type="dxa"/>
            <w:shd w:val="clear" w:color="auto" w:fill="auto"/>
          </w:tcPr>
          <w:p>
            <w:pPr>
              <w:pStyle w:val="33"/>
              <w:rPr>
                <w:lang w:eastAsia="ko-KR"/>
              </w:rPr>
            </w:pPr>
            <w:r>
              <w:t>800</w:t>
            </w:r>
            <w:r>
              <w:rPr>
                <w:vertAlign w:val="superscript"/>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96" w:type="dxa"/>
          </w:tcPr>
          <w:p>
            <w:pPr>
              <w:pStyle w:val="34"/>
              <w:rPr>
                <w:lang w:eastAsia="zh-CN"/>
              </w:rPr>
            </w:pPr>
            <w:r>
              <w:rPr>
                <w:lang w:eastAsia="ko-KR"/>
              </w:rPr>
              <w:t>&lt; -8</w:t>
            </w:r>
          </w:p>
        </w:tc>
        <w:tc>
          <w:tcPr>
            <w:tcW w:w="1701" w:type="dxa"/>
            <w:shd w:val="clear" w:color="auto" w:fill="auto"/>
          </w:tcPr>
          <w:p>
            <w:pPr>
              <w:pStyle w:val="34"/>
              <w:rPr>
                <w:lang w:eastAsia="ko-KR"/>
              </w:rPr>
            </w:pPr>
            <w:r>
              <w:rPr>
                <w:lang w:eastAsia="ko-KR"/>
              </w:rPr>
              <w:t>FR2</w:t>
            </w:r>
          </w:p>
        </w:tc>
        <w:tc>
          <w:tcPr>
            <w:tcW w:w="2835" w:type="dxa"/>
            <w:shd w:val="clear" w:color="auto" w:fill="auto"/>
          </w:tcPr>
          <w:p>
            <w:pPr>
              <w:pStyle w:val="33"/>
              <w:rPr>
                <w:lang w:eastAsia="zh-CN"/>
              </w:rPr>
            </w:pPr>
            <w:r>
              <w:rPr>
                <w:lang w:eastAsia="zh-CN"/>
              </w:rPr>
              <w:t>N/A</w:t>
            </w:r>
          </w:p>
        </w:tc>
        <w:tc>
          <w:tcPr>
            <w:tcW w:w="3411" w:type="dxa"/>
            <w:shd w:val="clear" w:color="auto" w:fill="auto"/>
          </w:tcPr>
          <w:p>
            <w:pPr>
              <w:pStyle w:val="33"/>
              <w:rPr>
                <w:lang w:eastAsia="ko-KR"/>
              </w:rPr>
            </w:pPr>
            <w:r>
              <w:rPr>
                <w:lang w:val="sv-SE" w:eastAsia="ko-KR"/>
              </w:rPr>
              <w:t>4000</w:t>
            </w:r>
            <w:r>
              <w:rPr>
                <w:vertAlign w:val="superscript"/>
                <w:lang w:val="sv-SE"/>
              </w:rPr>
              <w:t>Note1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43" w:type="dxa"/>
            <w:gridSpan w:val="4"/>
          </w:tcPr>
          <w:p>
            <w:pPr>
              <w:pStyle w:val="33"/>
              <w:jc w:val="both"/>
              <w:rPr>
                <w:lang w:eastAsia="ko-KR"/>
              </w:rPr>
            </w:pPr>
            <w:r>
              <w:rPr>
                <w:lang w:eastAsia="ko-KR"/>
              </w:rPr>
              <w:t>Note 1:</w:t>
            </w:r>
            <w:r>
              <w:tab/>
            </w:r>
            <w:r>
              <w:rPr>
                <w:lang w:eastAsia="ko-KR"/>
              </w:rPr>
              <w:t>The UE is not required to successfully identify a cell on any NR frequency layer when T</w:t>
            </w:r>
            <w:r>
              <w:rPr>
                <w:vertAlign w:val="subscript"/>
                <w:lang w:eastAsia="ko-KR"/>
              </w:rPr>
              <w:t>SMTC,i</w:t>
            </w:r>
            <w:r>
              <w:rPr>
                <w:lang w:eastAsia="ko-KR"/>
              </w:rPr>
              <w:t xml:space="preserve"> &gt; 20 ms and serving cell SSB Ês/Iot &lt; -8 dB.</w:t>
            </w:r>
          </w:p>
        </w:tc>
      </w:tr>
    </w:tbl>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olor w:val="auto"/>
          <w:sz w:val="21"/>
          <w:szCs w:val="21"/>
          <w:lang w:val="en-US" w:eastAsia="zh-CN"/>
        </w:rPr>
      </w:pPr>
      <w:r>
        <w:rPr>
          <w:rFonts w:hint="eastAsia" w:ascii="Times New Roman" w:hAnsi="Times New Roman" w:eastAsia="宋体" w:cs="Times New Roman"/>
          <w:b/>
          <w:bCs/>
          <w:color w:val="auto"/>
          <w:sz w:val="21"/>
          <w:szCs w:val="21"/>
          <w:lang w:val="en-US" w:eastAsia="zh-CN" w:bidi="ar-SA"/>
        </w:rPr>
        <w:t xml:space="preserve">Proposal </w:t>
      </w:r>
      <w:r>
        <w:rPr>
          <w:rFonts w:hint="eastAsia" w:eastAsia="宋体" w:cs="Times New Roman"/>
          <w:b/>
          <w:bCs/>
          <w:color w:val="auto"/>
          <w:sz w:val="21"/>
          <w:szCs w:val="21"/>
          <w:lang w:val="en-US" w:eastAsia="zh-CN" w:bidi="ar-SA"/>
        </w:rPr>
        <w:t>4</w:t>
      </w:r>
      <w:r>
        <w:rPr>
          <w:rFonts w:hint="eastAsia" w:ascii="Times New Roman" w:hAnsi="Times New Roman" w:eastAsia="宋体" w:cs="Times New Roman"/>
          <w:b/>
          <w:bCs/>
          <w:color w:val="auto"/>
          <w:sz w:val="21"/>
          <w:szCs w:val="21"/>
          <w:lang w:val="en-US" w:eastAsia="zh-CN" w:bidi="ar-SA"/>
        </w:rPr>
        <w:t>: Enhance requirements for unknown cell and align with the RX beam sweep number reduction.</w:t>
      </w:r>
    </w:p>
    <w:p>
      <w:pPr>
        <w:pStyle w:val="4"/>
        <w:bidi w:val="0"/>
        <w:rPr>
          <w:rFonts w:hint="default"/>
          <w:color w:val="auto"/>
          <w:sz w:val="28"/>
          <w:szCs w:val="28"/>
          <w:lang w:val="en-US" w:eastAsia="zh-CN"/>
        </w:rPr>
      </w:pPr>
      <w:r>
        <w:rPr>
          <w:rFonts w:hint="eastAsia"/>
          <w:color w:val="auto"/>
          <w:sz w:val="28"/>
          <w:szCs w:val="28"/>
          <w:lang w:val="en-US" w:eastAsia="zh-CN"/>
        </w:rPr>
        <w:t>2.2 IDLE/INACTIVE state</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0"/>
          <w:szCs w:val="20"/>
          <w:lang w:val="en-US" w:eastAsia="zh-CN"/>
        </w:rPr>
      </w:pPr>
      <w:bookmarkStart w:id="6" w:name="OLE_LINK28"/>
      <w:r>
        <w:rPr>
          <w:rFonts w:hint="eastAsia" w:eastAsia="宋体"/>
          <w:color w:val="auto"/>
          <w:sz w:val="20"/>
          <w:szCs w:val="20"/>
          <w:lang w:val="en-US" w:eastAsia="zh-CN"/>
        </w:rPr>
        <w:t xml:space="preserve">Based on [1], it has been approved that the cell reselection requirements in IDLE/INACTIVE state should be enhanced. However the details are still not determined yet. </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0"/>
          <w:szCs w:val="20"/>
          <w:lang w:val="en-US" w:eastAsia="zh-CN"/>
        </w:rPr>
      </w:pPr>
      <w:r>
        <w:rPr>
          <w:rFonts w:hint="eastAsia" w:eastAsia="宋体"/>
          <w:color w:val="auto"/>
          <w:sz w:val="20"/>
          <w:szCs w:val="20"/>
          <w:lang w:val="en-US" w:eastAsia="zh-CN"/>
        </w:rPr>
        <w:t>In our opinion, the enhancement for FR1 HST in Rel-16 can be as a reference for the FR2 HST enhancement. In Rel-16 FR1 HST, Table 4.2.2.3-1 is the requirements in legacy FR1, whereas Table 4.2.2.3-2 is the enhanced requirements for FR1 HST in Rel-16.</w:t>
      </w:r>
    </w:p>
    <w:p>
      <w:pPr>
        <w:pStyle w:val="35"/>
        <w:rPr>
          <w:lang w:val="en-US"/>
        </w:rPr>
      </w:pPr>
      <w:r>
        <w:rPr>
          <w:lang w:val="en-US"/>
        </w:rPr>
        <w:t>Table 4.2.2.3-1: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9"/>
        <w:gridCol w:w="1008"/>
        <w:gridCol w:w="1010"/>
        <w:gridCol w:w="2114"/>
        <w:gridCol w:w="2116"/>
        <w:gridCol w:w="2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604" w:type="pct"/>
            <w:tcBorders>
              <w:top w:val="single" w:color="auto" w:sz="4" w:space="0"/>
              <w:left w:val="single" w:color="auto" w:sz="4" w:space="0"/>
              <w:bottom w:val="nil"/>
              <w:right w:val="single" w:color="auto" w:sz="4" w:space="0"/>
            </w:tcBorders>
          </w:tcPr>
          <w:p>
            <w:pPr>
              <w:pStyle w:val="32"/>
            </w:pPr>
            <w:r>
              <w:t>DRX cycle length [s]</w:t>
            </w:r>
          </w:p>
        </w:tc>
        <w:tc>
          <w:tcPr>
            <w:tcW w:w="1061" w:type="pct"/>
            <w:gridSpan w:val="2"/>
            <w:tcBorders>
              <w:top w:val="single" w:color="auto" w:sz="4" w:space="0"/>
              <w:left w:val="single" w:color="auto" w:sz="4" w:space="0"/>
              <w:bottom w:val="single" w:color="auto" w:sz="4" w:space="0"/>
              <w:right w:val="single" w:color="auto" w:sz="4" w:space="0"/>
            </w:tcBorders>
          </w:tcPr>
          <w:p>
            <w:pPr>
              <w:pStyle w:val="32"/>
            </w:pPr>
            <w:r>
              <w:t>Scaling Factor (N1)</w:t>
            </w:r>
          </w:p>
        </w:tc>
        <w:tc>
          <w:tcPr>
            <w:tcW w:w="1111" w:type="pct"/>
            <w:tcBorders>
              <w:top w:val="single" w:color="auto" w:sz="4" w:space="0"/>
              <w:left w:val="single" w:color="auto" w:sz="4" w:space="0"/>
              <w:bottom w:val="nil"/>
              <w:right w:val="single" w:color="auto" w:sz="4" w:space="0"/>
            </w:tcBorders>
          </w:tcPr>
          <w:p>
            <w:pPr>
              <w:pStyle w:val="32"/>
            </w:pPr>
            <w:r>
              <w:t>T</w:t>
            </w:r>
            <w:r>
              <w:rPr>
                <w:vertAlign w:val="subscript"/>
              </w:rPr>
              <w:t>detect,NR_Intra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32"/>
            </w:pPr>
            <w:r>
              <w:t>T</w:t>
            </w:r>
            <w:r>
              <w:rPr>
                <w:vertAlign w:val="subscript"/>
              </w:rPr>
              <w:t>measure,NR_Intra</w:t>
            </w:r>
            <w:r>
              <w:t xml:space="preserve"> [s] (number of DRX cycles)</w:t>
            </w:r>
          </w:p>
        </w:tc>
        <w:tc>
          <w:tcPr>
            <w:tcW w:w="1112" w:type="pct"/>
            <w:tcBorders>
              <w:top w:val="single" w:color="auto" w:sz="4" w:space="0"/>
              <w:left w:val="single" w:color="auto" w:sz="4" w:space="0"/>
              <w:bottom w:val="nil"/>
              <w:right w:val="single" w:color="auto" w:sz="4" w:space="0"/>
            </w:tcBorders>
          </w:tcPr>
          <w:p>
            <w:pPr>
              <w:pStyle w:val="32"/>
              <w:rPr>
                <w:vertAlign w:val="subscript"/>
              </w:rPr>
            </w:pPr>
            <w:r>
              <w:t>T</w:t>
            </w:r>
            <w:r>
              <w:rPr>
                <w:vertAlign w:val="subscript"/>
              </w:rPr>
              <w:t>evaluate,NR_</w:t>
            </w:r>
            <w:r>
              <w:rPr>
                <w:rFonts w:cs="v4.2.0"/>
                <w:vertAlign w:val="subscript"/>
              </w:rPr>
              <w:t>Intra</w:t>
            </w:r>
          </w:p>
          <w:p>
            <w:pPr>
              <w:pStyle w:val="32"/>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tcBorders>
              <w:top w:val="nil"/>
              <w:left w:val="single" w:color="auto" w:sz="4" w:space="0"/>
              <w:bottom w:val="single" w:color="auto" w:sz="4" w:space="0"/>
              <w:right w:val="single" w:color="auto" w:sz="4" w:space="0"/>
            </w:tcBorders>
            <w:vAlign w:val="center"/>
          </w:tcPr>
          <w:p>
            <w:pPr>
              <w:pStyle w:val="32"/>
            </w:pPr>
          </w:p>
        </w:tc>
        <w:tc>
          <w:tcPr>
            <w:tcW w:w="530" w:type="pct"/>
            <w:tcBorders>
              <w:top w:val="single" w:color="auto" w:sz="4" w:space="0"/>
              <w:left w:val="single" w:color="auto" w:sz="4" w:space="0"/>
              <w:bottom w:val="single" w:color="auto" w:sz="4" w:space="0"/>
              <w:right w:val="single" w:color="auto" w:sz="4" w:space="0"/>
            </w:tcBorders>
          </w:tcPr>
          <w:p>
            <w:pPr>
              <w:pStyle w:val="32"/>
            </w:pPr>
            <w:r>
              <w:t>FR1</w:t>
            </w:r>
          </w:p>
        </w:tc>
        <w:tc>
          <w:tcPr>
            <w:tcW w:w="530" w:type="pct"/>
            <w:tcBorders>
              <w:top w:val="single" w:color="auto" w:sz="4" w:space="0"/>
              <w:left w:val="single" w:color="auto" w:sz="4" w:space="0"/>
              <w:bottom w:val="single" w:color="auto" w:sz="4" w:space="0"/>
              <w:right w:val="single" w:color="auto" w:sz="4" w:space="0"/>
            </w:tcBorders>
          </w:tcPr>
          <w:p>
            <w:pPr>
              <w:pStyle w:val="32"/>
              <w:rPr>
                <w:vertAlign w:val="superscript"/>
              </w:rPr>
            </w:pPr>
            <w:r>
              <w:t>FR2</w:t>
            </w:r>
            <w:r>
              <w:rPr>
                <w:vertAlign w:val="superscript"/>
              </w:rPr>
              <w:t>Note1</w:t>
            </w:r>
          </w:p>
        </w:tc>
        <w:tc>
          <w:tcPr>
            <w:tcW w:w="0" w:type="auto"/>
            <w:tcBorders>
              <w:top w:val="nil"/>
              <w:left w:val="single" w:color="auto" w:sz="4" w:space="0"/>
              <w:bottom w:val="single" w:color="auto" w:sz="4" w:space="0"/>
              <w:right w:val="single" w:color="auto" w:sz="4" w:space="0"/>
            </w:tcBorders>
            <w:vAlign w:val="center"/>
          </w:tcPr>
          <w:p>
            <w:pPr>
              <w:pStyle w:val="32"/>
            </w:pPr>
          </w:p>
        </w:tc>
        <w:tc>
          <w:tcPr>
            <w:tcW w:w="0" w:type="auto"/>
            <w:tcBorders>
              <w:top w:val="nil"/>
              <w:left w:val="single" w:color="auto" w:sz="4" w:space="0"/>
              <w:bottom w:val="single" w:color="auto" w:sz="4" w:space="0"/>
              <w:right w:val="single" w:color="auto" w:sz="4" w:space="0"/>
            </w:tcBorders>
            <w:vAlign w:val="center"/>
          </w:tcPr>
          <w:p>
            <w:pPr>
              <w:pStyle w:val="32"/>
            </w:pPr>
          </w:p>
        </w:tc>
        <w:tc>
          <w:tcPr>
            <w:tcW w:w="0" w:type="auto"/>
            <w:tcBorders>
              <w:top w:val="nil"/>
              <w:left w:val="single" w:color="auto" w:sz="4" w:space="0"/>
              <w:bottom w:val="single" w:color="auto" w:sz="4" w:space="0"/>
              <w:right w:val="single" w:color="auto" w:sz="4" w:space="0"/>
            </w:tcBorders>
            <w:vAlign w:val="center"/>
          </w:tcPr>
          <w:p>
            <w:pPr>
              <w:pStyle w:val="3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0.32</w:t>
            </w:r>
          </w:p>
        </w:tc>
        <w:tc>
          <w:tcPr>
            <w:tcW w:w="530" w:type="pct"/>
            <w:tcBorders>
              <w:top w:val="single" w:color="auto" w:sz="4" w:space="0"/>
              <w:left w:val="single" w:color="auto" w:sz="4" w:space="0"/>
              <w:bottom w:val="nil"/>
              <w:right w:val="single" w:color="auto" w:sz="4" w:space="0"/>
            </w:tcBorders>
            <w:vAlign w:val="center"/>
          </w:tcPr>
          <w:p>
            <w:pPr>
              <w:pStyle w:val="33"/>
            </w:pPr>
            <w:r>
              <w:t>1</w:t>
            </w:r>
          </w:p>
        </w:tc>
        <w:tc>
          <w:tcPr>
            <w:tcW w:w="530" w:type="pct"/>
            <w:tcBorders>
              <w:top w:val="single" w:color="auto" w:sz="4" w:space="0"/>
              <w:left w:val="single" w:color="auto" w:sz="4" w:space="0"/>
              <w:bottom w:val="single" w:color="auto" w:sz="4" w:space="0"/>
              <w:right w:val="single" w:color="auto" w:sz="4" w:space="0"/>
            </w:tcBorders>
          </w:tcPr>
          <w:p>
            <w:pPr>
              <w:pStyle w:val="33"/>
            </w:pPr>
            <w:r>
              <w:t>8</w:t>
            </w:r>
          </w:p>
        </w:tc>
        <w:tc>
          <w:tcPr>
            <w:tcW w:w="1111" w:type="pct"/>
            <w:tcBorders>
              <w:top w:val="single" w:color="auto" w:sz="4" w:space="0"/>
              <w:left w:val="single" w:color="auto" w:sz="4" w:space="0"/>
              <w:bottom w:val="single" w:color="auto" w:sz="4" w:space="0"/>
              <w:right w:val="single" w:color="auto" w:sz="4" w:space="0"/>
            </w:tcBorders>
          </w:tcPr>
          <w:p>
            <w:pPr>
              <w:pStyle w:val="33"/>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33"/>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color="auto" w:sz="4" w:space="0"/>
              <w:left w:val="single" w:color="auto" w:sz="4" w:space="0"/>
              <w:bottom w:val="single" w:color="auto" w:sz="4" w:space="0"/>
              <w:right w:val="single" w:color="auto" w:sz="4" w:space="0"/>
            </w:tcBorders>
          </w:tcPr>
          <w:p>
            <w:pPr>
              <w:pStyle w:val="33"/>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0.64</w:t>
            </w:r>
          </w:p>
        </w:tc>
        <w:tc>
          <w:tcPr>
            <w:tcW w:w="0" w:type="auto"/>
            <w:tcBorders>
              <w:top w:val="nil"/>
              <w:left w:val="single" w:color="auto" w:sz="4" w:space="0"/>
              <w:bottom w:val="nil"/>
              <w:right w:val="single" w:color="auto" w:sz="4" w:space="0"/>
            </w:tcBorders>
            <w:vAlign w:val="center"/>
          </w:tcPr>
          <w:p>
            <w:pPr>
              <w:pStyle w:val="33"/>
            </w:pPr>
          </w:p>
        </w:tc>
        <w:tc>
          <w:tcPr>
            <w:tcW w:w="530" w:type="pct"/>
            <w:tcBorders>
              <w:top w:val="single" w:color="auto" w:sz="4" w:space="0"/>
              <w:left w:val="single" w:color="auto" w:sz="4" w:space="0"/>
              <w:bottom w:val="single" w:color="auto" w:sz="4" w:space="0"/>
              <w:right w:val="single" w:color="auto" w:sz="4" w:space="0"/>
            </w:tcBorders>
          </w:tcPr>
          <w:p>
            <w:pPr>
              <w:pStyle w:val="33"/>
            </w:pPr>
            <w:r>
              <w:t>5</w:t>
            </w:r>
          </w:p>
        </w:tc>
        <w:tc>
          <w:tcPr>
            <w:tcW w:w="1111" w:type="pct"/>
            <w:tcBorders>
              <w:top w:val="single" w:color="auto" w:sz="4" w:space="0"/>
              <w:left w:val="single" w:color="auto" w:sz="4" w:space="0"/>
              <w:bottom w:val="single" w:color="auto" w:sz="4" w:space="0"/>
              <w:right w:val="single" w:color="auto" w:sz="4" w:space="0"/>
            </w:tcBorders>
          </w:tcPr>
          <w:p>
            <w:pPr>
              <w:pStyle w:val="33"/>
            </w:pPr>
            <w:r>
              <w:t>17.92 x N1 (28 x N1)</w:t>
            </w:r>
          </w:p>
        </w:tc>
        <w:tc>
          <w:tcPr>
            <w:tcW w:w="1112" w:type="pct"/>
            <w:tcBorders>
              <w:top w:val="single" w:color="auto" w:sz="4" w:space="0"/>
              <w:left w:val="single" w:color="auto" w:sz="4" w:space="0"/>
              <w:bottom w:val="single" w:color="auto" w:sz="4" w:space="0"/>
              <w:right w:val="single" w:color="auto" w:sz="4" w:space="0"/>
            </w:tcBorders>
          </w:tcPr>
          <w:p>
            <w:pPr>
              <w:pStyle w:val="33"/>
            </w:pPr>
            <w:r>
              <w:t>1.28 x N1 (2 x N1)</w:t>
            </w:r>
          </w:p>
        </w:tc>
        <w:tc>
          <w:tcPr>
            <w:tcW w:w="1112" w:type="pct"/>
            <w:tcBorders>
              <w:top w:val="single" w:color="auto" w:sz="4" w:space="0"/>
              <w:left w:val="single" w:color="auto" w:sz="4" w:space="0"/>
              <w:bottom w:val="single" w:color="auto" w:sz="4" w:space="0"/>
              <w:right w:val="single" w:color="auto" w:sz="4" w:space="0"/>
            </w:tcBorders>
          </w:tcPr>
          <w:p>
            <w:pPr>
              <w:pStyle w:val="33"/>
            </w:pPr>
            <w: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1.28</w:t>
            </w:r>
          </w:p>
        </w:tc>
        <w:tc>
          <w:tcPr>
            <w:tcW w:w="0" w:type="auto"/>
            <w:tcBorders>
              <w:top w:val="nil"/>
              <w:left w:val="single" w:color="auto" w:sz="4" w:space="0"/>
              <w:bottom w:val="nil"/>
              <w:right w:val="single" w:color="auto" w:sz="4" w:space="0"/>
            </w:tcBorders>
            <w:vAlign w:val="center"/>
          </w:tcPr>
          <w:p>
            <w:pPr>
              <w:pStyle w:val="33"/>
            </w:pPr>
          </w:p>
        </w:tc>
        <w:tc>
          <w:tcPr>
            <w:tcW w:w="530" w:type="pct"/>
            <w:tcBorders>
              <w:top w:val="single" w:color="auto" w:sz="4" w:space="0"/>
              <w:left w:val="single" w:color="auto" w:sz="4" w:space="0"/>
              <w:bottom w:val="single" w:color="auto" w:sz="4" w:space="0"/>
              <w:right w:val="single" w:color="auto" w:sz="4" w:space="0"/>
            </w:tcBorders>
          </w:tcPr>
          <w:p>
            <w:pPr>
              <w:pStyle w:val="33"/>
            </w:pPr>
            <w:r>
              <w:t>4</w:t>
            </w:r>
          </w:p>
        </w:tc>
        <w:tc>
          <w:tcPr>
            <w:tcW w:w="1111" w:type="pct"/>
            <w:tcBorders>
              <w:top w:val="single" w:color="auto" w:sz="4" w:space="0"/>
              <w:left w:val="single" w:color="auto" w:sz="4" w:space="0"/>
              <w:bottom w:val="single" w:color="auto" w:sz="4" w:space="0"/>
              <w:right w:val="single" w:color="auto" w:sz="4" w:space="0"/>
            </w:tcBorders>
          </w:tcPr>
          <w:p>
            <w:pPr>
              <w:pStyle w:val="33"/>
            </w:pPr>
            <w:r>
              <w:t>32 x N1 (25 x N1)</w:t>
            </w:r>
          </w:p>
        </w:tc>
        <w:tc>
          <w:tcPr>
            <w:tcW w:w="1112" w:type="pct"/>
            <w:tcBorders>
              <w:top w:val="single" w:color="auto" w:sz="4" w:space="0"/>
              <w:left w:val="single" w:color="auto" w:sz="4" w:space="0"/>
              <w:bottom w:val="single" w:color="auto" w:sz="4" w:space="0"/>
              <w:right w:val="single" w:color="auto" w:sz="4" w:space="0"/>
            </w:tcBorders>
          </w:tcPr>
          <w:p>
            <w:pPr>
              <w:pStyle w:val="33"/>
            </w:pPr>
            <w:r>
              <w:t>1.28 x N1 (1 x N1)</w:t>
            </w:r>
          </w:p>
        </w:tc>
        <w:tc>
          <w:tcPr>
            <w:tcW w:w="1112" w:type="pct"/>
            <w:tcBorders>
              <w:top w:val="single" w:color="auto" w:sz="4" w:space="0"/>
              <w:left w:val="single" w:color="auto" w:sz="4" w:space="0"/>
              <w:bottom w:val="single" w:color="auto" w:sz="4" w:space="0"/>
              <w:right w:val="single" w:color="auto" w:sz="4" w:space="0"/>
            </w:tcBorders>
          </w:tcPr>
          <w:p>
            <w:pPr>
              <w:pStyle w:val="33"/>
            </w:pPr>
            <w: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33"/>
            </w:pPr>
            <w:r>
              <w:t>2.56</w:t>
            </w:r>
          </w:p>
        </w:tc>
        <w:tc>
          <w:tcPr>
            <w:tcW w:w="0" w:type="auto"/>
            <w:tcBorders>
              <w:top w:val="nil"/>
              <w:left w:val="single" w:color="auto" w:sz="4" w:space="0"/>
              <w:bottom w:val="single" w:color="auto" w:sz="4" w:space="0"/>
              <w:right w:val="single" w:color="auto" w:sz="4" w:space="0"/>
            </w:tcBorders>
            <w:vAlign w:val="center"/>
          </w:tcPr>
          <w:p>
            <w:pPr>
              <w:pStyle w:val="33"/>
            </w:pPr>
          </w:p>
        </w:tc>
        <w:tc>
          <w:tcPr>
            <w:tcW w:w="530" w:type="pct"/>
            <w:tcBorders>
              <w:top w:val="single" w:color="auto" w:sz="4" w:space="0"/>
              <w:left w:val="single" w:color="auto" w:sz="4" w:space="0"/>
              <w:bottom w:val="single" w:color="auto" w:sz="4" w:space="0"/>
              <w:right w:val="single" w:color="auto" w:sz="4" w:space="0"/>
            </w:tcBorders>
          </w:tcPr>
          <w:p>
            <w:pPr>
              <w:pStyle w:val="33"/>
              <w:rPr>
                <w:rFonts w:cs="Arial"/>
                <w:lang w:eastAsia="zh-CN"/>
              </w:rPr>
            </w:pPr>
            <w:r>
              <w:rPr>
                <w:rFonts w:cs="Arial"/>
                <w:lang w:eastAsia="zh-CN"/>
              </w:rPr>
              <w:t>3</w:t>
            </w:r>
          </w:p>
        </w:tc>
        <w:tc>
          <w:tcPr>
            <w:tcW w:w="1111" w:type="pct"/>
            <w:tcBorders>
              <w:top w:val="single" w:color="auto" w:sz="4" w:space="0"/>
              <w:left w:val="single" w:color="auto" w:sz="4" w:space="0"/>
              <w:bottom w:val="single" w:color="auto" w:sz="4" w:space="0"/>
              <w:right w:val="single" w:color="auto" w:sz="4" w:space="0"/>
            </w:tcBorders>
          </w:tcPr>
          <w:p>
            <w:pPr>
              <w:pStyle w:val="33"/>
            </w:pPr>
            <w:r>
              <w:rPr>
                <w:rFonts w:cs="Arial"/>
                <w:lang w:eastAsia="zh-CN"/>
              </w:rPr>
              <w:t>58.88</w:t>
            </w:r>
            <w: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33"/>
            </w:pPr>
            <w:r>
              <w:t>2.56 x N1 (1 x N1)</w:t>
            </w:r>
          </w:p>
        </w:tc>
        <w:tc>
          <w:tcPr>
            <w:tcW w:w="1112" w:type="pct"/>
            <w:tcBorders>
              <w:top w:val="single" w:color="auto" w:sz="4" w:space="0"/>
              <w:left w:val="single" w:color="auto" w:sz="4" w:space="0"/>
              <w:bottom w:val="single" w:color="auto" w:sz="4" w:space="0"/>
              <w:right w:val="single" w:color="auto" w:sz="4" w:space="0"/>
            </w:tcBorders>
          </w:tcPr>
          <w:p>
            <w:pPr>
              <w:pStyle w:val="33"/>
            </w:pPr>
            <w: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6"/>
            <w:tcBorders>
              <w:top w:val="single" w:color="auto" w:sz="4" w:space="0"/>
              <w:left w:val="single" w:color="auto" w:sz="4" w:space="0"/>
              <w:bottom w:val="single" w:color="auto" w:sz="4" w:space="0"/>
              <w:right w:val="single" w:color="auto" w:sz="4" w:space="0"/>
            </w:tcBorders>
          </w:tcPr>
          <w:p>
            <w:pPr>
              <w:pStyle w:val="51"/>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w:t>
            </w:r>
            <w:r>
              <w:rPr>
                <w:lang w:eastAsia="zh-CN"/>
              </w:rPr>
              <w:t xml:space="preserve"> or 5</w:t>
            </w:r>
            <w:r>
              <w:t>, N1 = 8 for all DRX cycle length.</w:t>
            </w:r>
          </w:p>
          <w:p>
            <w:pPr>
              <w:pStyle w:val="51"/>
            </w:pPr>
            <w:r>
              <w:rPr>
                <w:snapToGrid w:val="0"/>
                <w:lang w:eastAsia="zh-CN"/>
              </w:rPr>
              <w:t>Note 2:</w:t>
            </w:r>
            <w:r>
              <w:rPr>
                <w:lang w:val="en-US"/>
              </w:rPr>
              <w:tab/>
            </w:r>
            <w:r>
              <w:rPr>
                <w:snapToGrid w:val="0"/>
                <w:lang w:eastAsia="zh-CN"/>
              </w:rPr>
              <w:t>M2 = 1.5 if SMTC periodicity</w:t>
            </w:r>
            <w:r>
              <w:t xml:space="preserve"> </w:t>
            </w:r>
            <w:r>
              <w:rPr>
                <w:snapToGrid w:val="0"/>
                <w:lang w:eastAsia="zh-CN"/>
              </w:rPr>
              <w:t>of measured intra-frequency cell &gt; 20 ms; otherwise M2=1.</w:t>
            </w:r>
          </w:p>
        </w:tc>
      </w:tr>
    </w:tbl>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olor w:val="auto"/>
          <w:sz w:val="21"/>
          <w:szCs w:val="21"/>
          <w:lang w:val="en-US" w:eastAsia="zh-CN"/>
        </w:rPr>
      </w:pPr>
    </w:p>
    <w:p>
      <w:pPr>
        <w:pStyle w:val="35"/>
      </w:pPr>
      <w:r>
        <w:t>Table 4.2.2.3-2: T</w:t>
      </w:r>
      <w:r>
        <w:rPr>
          <w:vertAlign w:val="subscript"/>
        </w:rPr>
        <w:t>detect,NR_Intra,</w:t>
      </w:r>
      <w:r>
        <w:t xml:space="preserve"> T</w:t>
      </w:r>
      <w:r>
        <w:rPr>
          <w:vertAlign w:val="subscript"/>
        </w:rPr>
        <w:t>measure,NR_Intra</w:t>
      </w:r>
      <w:r>
        <w:t xml:space="preserve"> and T</w:t>
      </w:r>
      <w:r>
        <w:rPr>
          <w:vertAlign w:val="subscript"/>
        </w:rPr>
        <w:t xml:space="preserve">evaluate,NR_Intra </w:t>
      </w:r>
      <w:r>
        <w:t xml:space="preserve">for UE configured with </w:t>
      </w:r>
      <w:r>
        <w:rPr>
          <w:rFonts w:cs="v4.2.0"/>
          <w:bCs/>
          <w:i/>
          <w:iCs/>
          <w:lang w:eastAsia="zh-CN"/>
        </w:rPr>
        <w:t>highSpeedMeasFlag-r16</w:t>
      </w:r>
      <w:r>
        <w:t xml:space="preserve"> (Frequency range FR1)</w:t>
      </w:r>
    </w:p>
    <w:tbl>
      <w:tblPr>
        <w:tblStyle w:val="16"/>
        <w:tblW w:w="39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2115"/>
        <w:gridCol w:w="2117"/>
        <w:gridCol w:w="2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766" w:type="pct"/>
            <w:vMerge w:val="restart"/>
            <w:tcBorders>
              <w:top w:val="single" w:color="auto" w:sz="4" w:space="0"/>
              <w:left w:val="single" w:color="auto" w:sz="4" w:space="0"/>
              <w:bottom w:val="single" w:color="auto" w:sz="4" w:space="0"/>
              <w:right w:val="single" w:color="auto" w:sz="4" w:space="0"/>
            </w:tcBorders>
          </w:tcPr>
          <w:p>
            <w:pPr>
              <w:pStyle w:val="32"/>
            </w:pPr>
            <w:r>
              <w:t>DRX cycle length [s]</w:t>
            </w:r>
          </w:p>
        </w:tc>
        <w:tc>
          <w:tcPr>
            <w:tcW w:w="1411" w:type="pct"/>
            <w:vMerge w:val="restart"/>
            <w:tcBorders>
              <w:top w:val="single" w:color="auto" w:sz="4" w:space="0"/>
              <w:left w:val="single" w:color="auto" w:sz="4" w:space="0"/>
              <w:bottom w:val="single" w:color="auto" w:sz="4" w:space="0"/>
              <w:right w:val="single" w:color="auto" w:sz="4" w:space="0"/>
            </w:tcBorders>
          </w:tcPr>
          <w:p>
            <w:pPr>
              <w:pStyle w:val="32"/>
            </w:pPr>
            <w:r>
              <w:t>T</w:t>
            </w:r>
            <w:r>
              <w:rPr>
                <w:vertAlign w:val="subscript"/>
              </w:rPr>
              <w:t>detect,NR_Intra</w:t>
            </w:r>
            <w:r>
              <w:t xml:space="preserve"> [s] (number of DRX cycles)</w:t>
            </w:r>
          </w:p>
        </w:tc>
        <w:tc>
          <w:tcPr>
            <w:tcW w:w="1412" w:type="pct"/>
            <w:vMerge w:val="restart"/>
            <w:tcBorders>
              <w:top w:val="single" w:color="auto" w:sz="4" w:space="0"/>
              <w:left w:val="single" w:color="auto" w:sz="4" w:space="0"/>
              <w:bottom w:val="single" w:color="auto" w:sz="4" w:space="0"/>
              <w:right w:val="single" w:color="auto" w:sz="4" w:space="0"/>
            </w:tcBorders>
          </w:tcPr>
          <w:p>
            <w:pPr>
              <w:pStyle w:val="32"/>
            </w:pPr>
            <w:r>
              <w:t>T</w:t>
            </w:r>
            <w:r>
              <w:rPr>
                <w:vertAlign w:val="subscript"/>
              </w:rPr>
              <w:t>measure,NR_Intra</w:t>
            </w:r>
            <w:r>
              <w:t xml:space="preserve"> [s] (number of DRX cycles)</w:t>
            </w:r>
          </w:p>
        </w:tc>
        <w:tc>
          <w:tcPr>
            <w:tcW w:w="1411" w:type="pct"/>
            <w:vMerge w:val="restart"/>
            <w:tcBorders>
              <w:top w:val="single" w:color="auto" w:sz="4" w:space="0"/>
              <w:left w:val="single" w:color="auto" w:sz="4" w:space="0"/>
              <w:bottom w:val="single" w:color="auto" w:sz="4" w:space="0"/>
              <w:right w:val="single" w:color="auto" w:sz="4" w:space="0"/>
            </w:tcBorders>
          </w:tcPr>
          <w:p>
            <w:pPr>
              <w:pStyle w:val="32"/>
              <w:rPr>
                <w:vertAlign w:val="subscript"/>
              </w:rPr>
            </w:pPr>
            <w:r>
              <w:t>T</w:t>
            </w:r>
            <w:r>
              <w:rPr>
                <w:vertAlign w:val="subscript"/>
              </w:rPr>
              <w:t>evaluate,NR_</w:t>
            </w:r>
            <w:r>
              <w:rPr>
                <w:rFonts w:cs="v4.2.0"/>
                <w:vertAlign w:val="subscript"/>
              </w:rPr>
              <w:t>Intra</w:t>
            </w:r>
          </w:p>
          <w:p>
            <w:pPr>
              <w:pStyle w:val="32"/>
            </w:pPr>
            <w: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0.32</w:t>
            </w:r>
          </w:p>
        </w:tc>
        <w:tc>
          <w:tcPr>
            <w:tcW w:w="1411" w:type="pct"/>
            <w:tcBorders>
              <w:top w:val="single" w:color="auto" w:sz="4" w:space="0"/>
              <w:left w:val="single" w:color="auto" w:sz="4" w:space="0"/>
              <w:bottom w:val="single" w:color="auto" w:sz="4" w:space="0"/>
              <w:right w:val="single" w:color="auto" w:sz="4" w:space="0"/>
            </w:tcBorders>
          </w:tcPr>
          <w:p>
            <w:pPr>
              <w:pStyle w:val="33"/>
            </w:pPr>
            <w:r>
              <w:t>2.56 x M2 (8 x M2)</w:t>
            </w:r>
          </w:p>
        </w:tc>
        <w:tc>
          <w:tcPr>
            <w:tcW w:w="1412" w:type="pct"/>
            <w:tcBorders>
              <w:top w:val="single" w:color="auto" w:sz="4" w:space="0"/>
              <w:left w:val="single" w:color="auto" w:sz="4" w:space="0"/>
              <w:bottom w:val="single" w:color="auto" w:sz="4" w:space="0"/>
              <w:right w:val="single" w:color="auto" w:sz="4" w:space="0"/>
            </w:tcBorders>
          </w:tcPr>
          <w:p>
            <w:pPr>
              <w:pStyle w:val="33"/>
            </w:pPr>
            <w:r>
              <w:t>0.32 x M3 (1 x M3)</w:t>
            </w:r>
          </w:p>
        </w:tc>
        <w:tc>
          <w:tcPr>
            <w:tcW w:w="1411" w:type="pct"/>
            <w:tcBorders>
              <w:top w:val="single" w:color="auto" w:sz="4" w:space="0"/>
              <w:left w:val="single" w:color="auto" w:sz="4" w:space="0"/>
              <w:bottom w:val="single" w:color="auto" w:sz="4" w:space="0"/>
              <w:right w:val="single" w:color="auto" w:sz="4" w:space="0"/>
            </w:tcBorders>
          </w:tcPr>
          <w:p>
            <w:pPr>
              <w:pStyle w:val="33"/>
            </w:pPr>
            <w:r>
              <w:t>0.96 x M4 (3 x M4)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0.64</w:t>
            </w:r>
          </w:p>
        </w:tc>
        <w:tc>
          <w:tcPr>
            <w:tcW w:w="1411" w:type="pct"/>
            <w:tcBorders>
              <w:top w:val="single" w:color="auto" w:sz="4" w:space="0"/>
              <w:left w:val="single" w:color="auto" w:sz="4" w:space="0"/>
              <w:bottom w:val="single" w:color="auto" w:sz="4" w:space="0"/>
              <w:right w:val="single" w:color="auto" w:sz="4" w:space="0"/>
            </w:tcBorders>
          </w:tcPr>
          <w:p>
            <w:pPr>
              <w:pStyle w:val="33"/>
            </w:pPr>
            <w:r>
              <w:t>5.12 (8)</w:t>
            </w:r>
          </w:p>
        </w:tc>
        <w:tc>
          <w:tcPr>
            <w:tcW w:w="1412" w:type="pct"/>
            <w:tcBorders>
              <w:top w:val="single" w:color="auto" w:sz="4" w:space="0"/>
              <w:left w:val="single" w:color="auto" w:sz="4" w:space="0"/>
              <w:bottom w:val="single" w:color="auto" w:sz="4" w:space="0"/>
              <w:right w:val="single" w:color="auto" w:sz="4" w:space="0"/>
            </w:tcBorders>
          </w:tcPr>
          <w:p>
            <w:pPr>
              <w:pStyle w:val="33"/>
            </w:pPr>
            <w:r>
              <w:t>0.64 (1)</w:t>
            </w:r>
          </w:p>
        </w:tc>
        <w:tc>
          <w:tcPr>
            <w:tcW w:w="1411" w:type="pct"/>
            <w:tcBorders>
              <w:top w:val="single" w:color="auto" w:sz="4" w:space="0"/>
              <w:left w:val="single" w:color="auto" w:sz="4" w:space="0"/>
              <w:bottom w:val="single" w:color="auto" w:sz="4" w:space="0"/>
              <w:right w:val="single" w:color="auto" w:sz="4" w:space="0"/>
            </w:tcBorders>
          </w:tcPr>
          <w:p>
            <w:pPr>
              <w:pStyle w:val="33"/>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1.28</w:t>
            </w:r>
          </w:p>
        </w:tc>
        <w:tc>
          <w:tcPr>
            <w:tcW w:w="1411" w:type="pct"/>
            <w:tcBorders>
              <w:top w:val="single" w:color="auto" w:sz="4" w:space="0"/>
              <w:left w:val="single" w:color="auto" w:sz="4" w:space="0"/>
              <w:bottom w:val="single" w:color="auto" w:sz="4" w:space="0"/>
              <w:right w:val="single" w:color="auto" w:sz="4" w:space="0"/>
            </w:tcBorders>
          </w:tcPr>
          <w:p>
            <w:pPr>
              <w:pStyle w:val="33"/>
            </w:pPr>
            <w:r>
              <w:t>8.96 (7)</w:t>
            </w:r>
          </w:p>
        </w:tc>
        <w:tc>
          <w:tcPr>
            <w:tcW w:w="1412" w:type="pct"/>
            <w:tcBorders>
              <w:top w:val="single" w:color="auto" w:sz="4" w:space="0"/>
              <w:left w:val="single" w:color="auto" w:sz="4" w:space="0"/>
              <w:bottom w:val="single" w:color="auto" w:sz="4" w:space="0"/>
              <w:right w:val="single" w:color="auto" w:sz="4" w:space="0"/>
            </w:tcBorders>
          </w:tcPr>
          <w:p>
            <w:pPr>
              <w:pStyle w:val="33"/>
            </w:pPr>
            <w:r>
              <w:t>1.28 (1)</w:t>
            </w:r>
          </w:p>
        </w:tc>
        <w:tc>
          <w:tcPr>
            <w:tcW w:w="1411" w:type="pct"/>
            <w:tcBorders>
              <w:top w:val="single" w:color="auto" w:sz="4" w:space="0"/>
              <w:left w:val="single" w:color="auto" w:sz="4" w:space="0"/>
              <w:bottom w:val="single" w:color="auto" w:sz="4" w:space="0"/>
              <w:right w:val="single" w:color="auto" w:sz="4" w:space="0"/>
            </w:tcBorders>
          </w:tcPr>
          <w:p>
            <w:pPr>
              <w:pStyle w:val="33"/>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66" w:type="pct"/>
            <w:tcBorders>
              <w:top w:val="single" w:color="auto" w:sz="4" w:space="0"/>
              <w:left w:val="single" w:color="auto" w:sz="4" w:space="0"/>
              <w:bottom w:val="single" w:color="auto" w:sz="4" w:space="0"/>
              <w:right w:val="single" w:color="auto" w:sz="4" w:space="0"/>
            </w:tcBorders>
          </w:tcPr>
          <w:p>
            <w:pPr>
              <w:pStyle w:val="33"/>
            </w:pPr>
            <w:r>
              <w:t>2.56</w:t>
            </w:r>
          </w:p>
        </w:tc>
        <w:tc>
          <w:tcPr>
            <w:tcW w:w="1411" w:type="pct"/>
            <w:tcBorders>
              <w:top w:val="single" w:color="auto" w:sz="4" w:space="0"/>
              <w:left w:val="single" w:color="auto" w:sz="4" w:space="0"/>
              <w:bottom w:val="single" w:color="auto" w:sz="4" w:space="0"/>
              <w:right w:val="single" w:color="auto" w:sz="4" w:space="0"/>
            </w:tcBorders>
          </w:tcPr>
          <w:p>
            <w:pPr>
              <w:pStyle w:val="33"/>
            </w:pPr>
            <w:r>
              <w:t>58.88 (23)</w:t>
            </w:r>
          </w:p>
        </w:tc>
        <w:tc>
          <w:tcPr>
            <w:tcW w:w="1412" w:type="pct"/>
            <w:tcBorders>
              <w:top w:val="single" w:color="auto" w:sz="4" w:space="0"/>
              <w:left w:val="single" w:color="auto" w:sz="4" w:space="0"/>
              <w:bottom w:val="single" w:color="auto" w:sz="4" w:space="0"/>
              <w:right w:val="single" w:color="auto" w:sz="4" w:space="0"/>
            </w:tcBorders>
          </w:tcPr>
          <w:p>
            <w:pPr>
              <w:pStyle w:val="33"/>
            </w:pPr>
            <w:r>
              <w:t>2.56 (1)</w:t>
            </w:r>
          </w:p>
        </w:tc>
        <w:tc>
          <w:tcPr>
            <w:tcW w:w="1411" w:type="pct"/>
            <w:tcBorders>
              <w:top w:val="single" w:color="auto" w:sz="4" w:space="0"/>
              <w:left w:val="single" w:color="auto" w:sz="4" w:space="0"/>
              <w:bottom w:val="single" w:color="auto" w:sz="4" w:space="0"/>
              <w:right w:val="single" w:color="auto" w:sz="4" w:space="0"/>
            </w:tcBorders>
          </w:tcPr>
          <w:p>
            <w:pPr>
              <w:pStyle w:val="33"/>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51"/>
              <w:rPr>
                <w:rFonts w:eastAsia="DengXian"/>
                <w:lang w:eastAsia="zh-CN"/>
              </w:rPr>
            </w:pPr>
            <w:r>
              <w:rPr>
                <w:rFonts w:hint="eastAsia" w:eastAsia="DengXian"/>
                <w:lang w:eastAsia="zh-CN"/>
              </w:rPr>
              <w:t>N</w:t>
            </w:r>
            <w:r>
              <w:rPr>
                <w:rFonts w:eastAsia="DengXian"/>
                <w:lang w:eastAsia="zh-CN"/>
              </w:rPr>
              <w:t>ote 1:</w:t>
            </w:r>
            <w:r>
              <w:rPr>
                <w:lang w:val="en-US"/>
              </w:rPr>
              <w:tab/>
            </w:r>
            <w:r>
              <w:rPr>
                <w:rFonts w:eastAsia="DengXian"/>
                <w:lang w:eastAsia="zh-CN"/>
              </w:rPr>
              <w:t>when SMTC &lt; = 40 ms, M2 = M3 = M4 = 1; and when SMTC &gt; 40 ms, M2 = 1.5, M3 = M4 = 2</w:t>
            </w:r>
          </w:p>
        </w:tc>
      </w:tr>
    </w:tbl>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olor w:val="auto"/>
          <w:sz w:val="20"/>
          <w:szCs w:val="20"/>
          <w:lang w:val="en-US" w:eastAsia="zh-CN"/>
        </w:rPr>
      </w:pPr>
      <w:r>
        <w:rPr>
          <w:rFonts w:hint="eastAsia" w:eastAsia="宋体"/>
          <w:color w:val="auto"/>
          <w:sz w:val="20"/>
          <w:szCs w:val="20"/>
          <w:lang w:val="en-US" w:eastAsia="zh-CN"/>
        </w:rPr>
        <w:t>For HST FR2, comparing with HST FR1, one obvious difference lies in the RX beam sweep number. So we suggest introducing scaling factor N1 upon the HST FR1 enhancement, so as the HST FR2 requirements, which can be shown in Table 8.</w:t>
      </w:r>
    </w:p>
    <w:p>
      <w:pPr>
        <w:spacing w:after="0"/>
        <w:jc w:val="center"/>
        <w:textAlignment w:val="baseline"/>
        <w:rPr>
          <w:rFonts w:ascii="Segoe UI" w:hAnsi="Segoe UI" w:eastAsia="Times New Roman" w:cs="Segoe UI"/>
          <w:sz w:val="18"/>
          <w:szCs w:val="18"/>
        </w:rPr>
      </w:pPr>
      <w:r>
        <w:rPr>
          <w:rFonts w:ascii="Arial" w:hAnsi="Arial" w:eastAsia="Times New Roman" w:cs="Arial"/>
          <w:b/>
          <w:bCs/>
          <w:sz w:val="18"/>
          <w:szCs w:val="18"/>
        </w:rPr>
        <w:t>Table </w:t>
      </w:r>
      <w:r>
        <w:rPr>
          <w:rFonts w:hint="eastAsia" w:ascii="Arial" w:hAnsi="Arial" w:eastAsia="宋体" w:cs="Arial"/>
          <w:b/>
          <w:bCs/>
          <w:sz w:val="18"/>
          <w:szCs w:val="18"/>
          <w:lang w:val="en-US" w:eastAsia="zh-CN"/>
        </w:rPr>
        <w:t>8</w:t>
      </w:r>
      <w:r>
        <w:rPr>
          <w:rFonts w:ascii="Arial" w:hAnsi="Arial" w:eastAsia="Times New Roman" w:cs="Arial"/>
          <w:b/>
          <w:bCs/>
          <w:sz w:val="18"/>
          <w:szCs w:val="18"/>
        </w:rPr>
        <w:t>: </w:t>
      </w:r>
      <w:r>
        <w:rPr>
          <w:rFonts w:ascii="Arial" w:hAnsi="Arial" w:eastAsia="Times New Roman" w:cs="Arial"/>
          <w:b/>
          <w:bCs/>
          <w:color w:val="000000"/>
          <w:sz w:val="18"/>
          <w:szCs w:val="18"/>
          <w:shd w:val="clear" w:color="auto" w:fill="FFE5E5"/>
        </w:rPr>
        <w:t>T</w:t>
      </w:r>
      <w:r>
        <w:rPr>
          <w:rFonts w:ascii="Arial" w:hAnsi="Arial" w:eastAsia="Times New Roman" w:cs="Arial"/>
          <w:b/>
          <w:bCs/>
          <w:color w:val="000000"/>
          <w:sz w:val="14"/>
          <w:szCs w:val="14"/>
          <w:shd w:val="clear" w:color="auto" w:fill="FFE5E5"/>
          <w:vertAlign w:val="subscript"/>
        </w:rPr>
        <w:t>detect,NR_Intra</w:t>
      </w:r>
      <w:r>
        <w:rPr>
          <w:rFonts w:ascii="Arial" w:hAnsi="Arial" w:eastAsia="Times New Roman" w:cs="Arial"/>
          <w:b/>
          <w:bCs/>
          <w:sz w:val="14"/>
          <w:szCs w:val="14"/>
          <w:vertAlign w:val="subscript"/>
        </w:rPr>
        <w:t>,</w:t>
      </w:r>
      <w:r>
        <w:rPr>
          <w:rFonts w:ascii="Arial" w:hAnsi="Arial" w:eastAsia="Times New Roman" w:cs="Arial"/>
          <w:b/>
          <w:bCs/>
          <w:sz w:val="18"/>
          <w:szCs w:val="18"/>
        </w:rPr>
        <w:t> T</w:t>
      </w:r>
      <w:r>
        <w:rPr>
          <w:rFonts w:ascii="Arial" w:hAnsi="Arial" w:eastAsia="Times New Roman" w:cs="Arial"/>
          <w:b/>
          <w:bCs/>
          <w:sz w:val="14"/>
          <w:szCs w:val="14"/>
          <w:vertAlign w:val="subscript"/>
        </w:rPr>
        <w:t>measure,NR_Intra</w:t>
      </w:r>
      <w:r>
        <w:rPr>
          <w:rFonts w:ascii="Arial" w:hAnsi="Arial" w:eastAsia="Times New Roman" w:cs="Arial"/>
          <w:b/>
          <w:bCs/>
          <w:sz w:val="18"/>
          <w:szCs w:val="18"/>
        </w:rPr>
        <w:t> and T</w:t>
      </w:r>
      <w:r>
        <w:rPr>
          <w:rFonts w:ascii="Arial" w:hAnsi="Arial" w:eastAsia="Times New Roman" w:cs="Arial"/>
          <w:b/>
          <w:bCs/>
          <w:sz w:val="14"/>
          <w:szCs w:val="14"/>
          <w:vertAlign w:val="subscript"/>
        </w:rPr>
        <w:t>evaluate,NR_Intra </w:t>
      </w:r>
      <w:r>
        <w:rPr>
          <w:rFonts w:ascii="Arial" w:hAnsi="Arial" w:eastAsia="Times New Roman" w:cs="Arial"/>
          <w:b/>
          <w:bCs/>
          <w:sz w:val="18"/>
          <w:szCs w:val="18"/>
        </w:rPr>
        <w:t>for FR2 HST</w:t>
      </w:r>
      <w:r>
        <w:rPr>
          <w:rFonts w:ascii="Arial" w:hAnsi="Arial" w:eastAsia="Times New Roman" w:cs="Arial"/>
          <w:sz w:val="18"/>
          <w:szCs w:val="18"/>
        </w:rPr>
        <w:t>  </w:t>
      </w:r>
    </w:p>
    <w:tbl>
      <w:tblPr>
        <w:tblStyle w:val="16"/>
        <w:tblW w:w="5171"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0" w:type="dxa"/>
          <w:left w:w="0" w:type="dxa"/>
          <w:bottom w:w="0" w:type="dxa"/>
          <w:right w:w="0" w:type="dxa"/>
        </w:tblCellMar>
      </w:tblPr>
      <w:tblGrid>
        <w:gridCol w:w="781"/>
        <w:gridCol w:w="1466"/>
        <w:gridCol w:w="1531"/>
        <w:gridCol w:w="1393"/>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405" w:hRule="atLeast"/>
          <w:jc w:val="center"/>
        </w:trPr>
        <w:tc>
          <w:tcPr>
            <w:tcW w:w="781"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b/>
                <w:bCs/>
                <w:sz w:val="18"/>
                <w:szCs w:val="18"/>
              </w:rPr>
              <w:t>DRX cycle length [s]</w:t>
            </w:r>
            <w:r>
              <w:rPr>
                <w:rFonts w:ascii="Arial" w:hAnsi="Arial" w:eastAsia="Times New Roman" w:cs="Arial"/>
                <w:sz w:val="18"/>
                <w:szCs w:val="18"/>
              </w:rPr>
              <w:t> </w:t>
            </w:r>
          </w:p>
        </w:tc>
        <w:tc>
          <w:tcPr>
            <w:tcW w:w="1466"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b/>
                <w:bCs/>
                <w:sz w:val="18"/>
                <w:szCs w:val="18"/>
              </w:rPr>
              <w:t>T</w:t>
            </w:r>
            <w:r>
              <w:rPr>
                <w:rFonts w:ascii="Arial" w:hAnsi="Arial" w:eastAsia="Times New Roman" w:cs="Arial"/>
                <w:b/>
                <w:bCs/>
                <w:sz w:val="14"/>
                <w:szCs w:val="14"/>
                <w:vertAlign w:val="subscript"/>
              </w:rPr>
              <w:t>detect,NR_Intra</w:t>
            </w:r>
            <w:r>
              <w:rPr>
                <w:rFonts w:ascii="Arial" w:hAnsi="Arial" w:eastAsia="Times New Roman" w:cs="Arial"/>
                <w:b/>
                <w:bCs/>
                <w:sz w:val="18"/>
                <w:szCs w:val="18"/>
              </w:rPr>
              <w:t> [s] (number of DRX cycles)</w:t>
            </w:r>
            <w:r>
              <w:rPr>
                <w:rFonts w:ascii="Arial" w:hAnsi="Arial" w:eastAsia="Times New Roman" w:cs="Arial"/>
                <w:sz w:val="18"/>
                <w:szCs w:val="18"/>
              </w:rPr>
              <w:t> </w:t>
            </w:r>
          </w:p>
        </w:tc>
        <w:tc>
          <w:tcPr>
            <w:tcW w:w="1531"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b/>
                <w:bCs/>
                <w:sz w:val="18"/>
                <w:szCs w:val="18"/>
              </w:rPr>
              <w:t>T</w:t>
            </w:r>
            <w:r>
              <w:rPr>
                <w:rFonts w:ascii="Arial" w:hAnsi="Arial" w:eastAsia="Times New Roman" w:cs="Arial"/>
                <w:b/>
                <w:bCs/>
                <w:sz w:val="14"/>
                <w:szCs w:val="14"/>
                <w:vertAlign w:val="subscript"/>
              </w:rPr>
              <w:t>measure,NR_Intra</w:t>
            </w:r>
            <w:r>
              <w:rPr>
                <w:rFonts w:ascii="Arial" w:hAnsi="Arial" w:eastAsia="Times New Roman" w:cs="Arial"/>
                <w:b/>
                <w:bCs/>
                <w:sz w:val="18"/>
                <w:szCs w:val="18"/>
              </w:rPr>
              <w:t> [s] (number of DRX cycles)</w:t>
            </w:r>
            <w:r>
              <w:rPr>
                <w:rFonts w:ascii="Arial" w:hAnsi="Arial" w:eastAsia="Times New Roman" w:cs="Arial"/>
                <w:sz w:val="18"/>
                <w:szCs w:val="18"/>
              </w:rPr>
              <w:t> </w:t>
            </w:r>
          </w:p>
        </w:tc>
        <w:tc>
          <w:tcPr>
            <w:tcW w:w="1393" w:type="dxa"/>
            <w:vMerge w:val="restart"/>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b/>
                <w:bCs/>
                <w:sz w:val="18"/>
                <w:szCs w:val="18"/>
              </w:rPr>
              <w:t>T</w:t>
            </w:r>
            <w:r>
              <w:rPr>
                <w:rFonts w:ascii="Arial" w:hAnsi="Arial" w:eastAsia="Times New Roman" w:cs="Arial"/>
                <w:b/>
                <w:bCs/>
                <w:sz w:val="14"/>
                <w:szCs w:val="14"/>
                <w:vertAlign w:val="subscript"/>
              </w:rPr>
              <w:t>evaluate,NR_Intra</w:t>
            </w:r>
            <w:r>
              <w:rPr>
                <w:rFonts w:ascii="Arial" w:hAnsi="Arial" w:eastAsia="Times New Roman" w:cs="Arial"/>
                <w:sz w:val="14"/>
                <w:szCs w:val="14"/>
              </w:rPr>
              <w:t> </w:t>
            </w:r>
          </w:p>
          <w:p>
            <w:pPr>
              <w:spacing w:after="0"/>
              <w:jc w:val="center"/>
              <w:textAlignment w:val="baseline"/>
              <w:rPr>
                <w:rFonts w:eastAsia="Times New Roman"/>
                <w:sz w:val="24"/>
                <w:szCs w:val="24"/>
              </w:rPr>
            </w:pPr>
            <w:r>
              <w:rPr>
                <w:rFonts w:ascii="Arial" w:hAnsi="Arial" w:eastAsia="Times New Roman" w:cs="Arial"/>
                <w:b/>
                <w:bCs/>
                <w:sz w:val="18"/>
                <w:szCs w:val="18"/>
              </w:rPr>
              <w:t>[s] (number of DRX cycles)</w:t>
            </w:r>
            <w:r>
              <w:rPr>
                <w:rFonts w:ascii="Arial" w:hAnsi="Arial" w:eastAsia="Times New Roman" w:cs="Arial"/>
                <w:sz w:val="18"/>
                <w:szCs w:val="18"/>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276" w:hRule="atLeast"/>
          <w:jc w:val="center"/>
        </w:trPr>
        <w:tc>
          <w:tcPr>
            <w:tcW w:w="781"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rFonts w:eastAsia="Times New Roman"/>
                <w:sz w:val="24"/>
                <w:szCs w:val="24"/>
              </w:rPr>
            </w:pPr>
          </w:p>
        </w:tc>
        <w:tc>
          <w:tcPr>
            <w:tcW w:w="1466" w:type="dxa"/>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rFonts w:eastAsia="Times New Roman"/>
                <w:sz w:val="24"/>
                <w:szCs w:val="24"/>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rFonts w:eastAsia="Times New Roman"/>
                <w:sz w:val="24"/>
                <w:szCs w:val="24"/>
              </w:rPr>
            </w:pPr>
          </w:p>
        </w:tc>
        <w:tc>
          <w:tcPr>
            <w:tcW w:w="0" w:type="auto"/>
            <w:vMerge w:val="continue"/>
            <w:tcBorders>
              <w:top w:val="single" w:color="auto" w:sz="6" w:space="0"/>
              <w:left w:val="single" w:color="auto" w:sz="6" w:space="0"/>
              <w:bottom w:val="single" w:color="auto" w:sz="6" w:space="0"/>
              <w:right w:val="single" w:color="auto" w:sz="6" w:space="0"/>
            </w:tcBorders>
            <w:shd w:val="clear" w:color="auto" w:fill="auto"/>
            <w:vAlign w:val="center"/>
          </w:tcPr>
          <w:p>
            <w:pPr>
              <w:spacing w:after="0"/>
              <w:rPr>
                <w:rFonts w:eastAsia="Times New Roman"/>
                <w:sz w:val="24"/>
                <w:szCs w:val="24"/>
              </w:rPr>
            </w:pP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781"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ascii="Arial" w:hAnsi="Arial" w:eastAsia="Times New Roman" w:cs="Arial"/>
                <w:sz w:val="18"/>
                <w:szCs w:val="18"/>
              </w:rPr>
            </w:pPr>
            <w:r>
              <w:rPr>
                <w:rStyle w:val="52"/>
                <w:rFonts w:ascii="Arial" w:hAnsi="Arial" w:cs="Arial"/>
                <w:sz w:val="18"/>
                <w:szCs w:val="18"/>
              </w:rPr>
              <w:t>0.32</w:t>
            </w:r>
            <w:r>
              <w:rPr>
                <w:rStyle w:val="53"/>
                <w:rFonts w:ascii="Arial" w:hAnsi="Arial" w:cs="Arial"/>
                <w:sz w:val="18"/>
                <w:szCs w:val="18"/>
              </w:rPr>
              <w:t> </w:t>
            </w:r>
          </w:p>
        </w:tc>
        <w:tc>
          <w:tcPr>
            <w:tcW w:w="1466"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ascii="Arial" w:hAnsi="Arial" w:eastAsia="Times New Roman" w:cs="Arial"/>
                <w:sz w:val="18"/>
                <w:szCs w:val="18"/>
                <w:shd w:val="clear" w:color="auto" w:fill="FFFF00"/>
              </w:rPr>
            </w:pPr>
            <w:r>
              <w:t>2.</w:t>
            </w:r>
            <w:r>
              <w:rPr>
                <w:rStyle w:val="52"/>
                <w:rFonts w:ascii="Arial" w:hAnsi="Arial" w:cs="Arial"/>
                <w:sz w:val="18"/>
                <w:szCs w:val="18"/>
              </w:rPr>
              <w:t>56 x N1 x M2 (8 x N1 x M2)</w:t>
            </w:r>
            <w:r>
              <w:rPr>
                <w:rStyle w:val="53"/>
                <w:rFonts w:ascii="Arial" w:hAnsi="Arial" w:cs="Arial"/>
                <w:sz w:val="18"/>
                <w:szCs w:val="18"/>
              </w:rPr>
              <w:t> </w:t>
            </w:r>
          </w:p>
        </w:tc>
        <w:tc>
          <w:tcPr>
            <w:tcW w:w="1531"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ascii="Arial" w:hAnsi="Arial" w:eastAsia="Times New Roman" w:cs="Arial"/>
                <w:sz w:val="18"/>
                <w:szCs w:val="18"/>
              </w:rPr>
            </w:pPr>
            <w:r>
              <w:rPr>
                <w:rStyle w:val="52"/>
                <w:rFonts w:ascii="Arial" w:hAnsi="Arial" w:cs="Arial"/>
                <w:sz w:val="18"/>
                <w:szCs w:val="18"/>
              </w:rPr>
              <w:t>0.32 x N1 x M3 (1 x N1 x M3)</w:t>
            </w:r>
            <w:r>
              <w:rPr>
                <w:rStyle w:val="53"/>
                <w:rFonts w:ascii="Arial" w:hAnsi="Arial" w:cs="Arial"/>
                <w:sz w:val="18"/>
                <w:szCs w:val="18"/>
              </w:rPr>
              <w:t> </w:t>
            </w:r>
          </w:p>
        </w:tc>
        <w:tc>
          <w:tcPr>
            <w:tcW w:w="1393"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ascii="Arial" w:hAnsi="Arial" w:eastAsia="Times New Roman" w:cs="Arial"/>
                <w:sz w:val="18"/>
                <w:szCs w:val="18"/>
              </w:rPr>
            </w:pPr>
            <w:r>
              <w:rPr>
                <w:rStyle w:val="52"/>
                <w:rFonts w:ascii="Arial" w:hAnsi="Arial" w:cs="Arial"/>
                <w:sz w:val="18"/>
                <w:szCs w:val="18"/>
              </w:rPr>
              <w:t>0.96 x N1 x M4 (3 x M4)</w:t>
            </w:r>
            <w:r>
              <w:rPr>
                <w:rStyle w:val="53"/>
                <w:rFonts w:ascii="Arial" w:hAnsi="Arial" w:cs="Arial"/>
                <w:sz w:val="18"/>
                <w:szCs w:val="18"/>
              </w:rPr>
              <w:t>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781"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sz w:val="18"/>
                <w:szCs w:val="18"/>
              </w:rPr>
              <w:t>0.64 </w:t>
            </w:r>
          </w:p>
        </w:tc>
        <w:tc>
          <w:tcPr>
            <w:tcW w:w="1466"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t>5.1</w:t>
            </w:r>
            <w:r>
              <w:rPr>
                <w:rFonts w:ascii="Arial" w:hAnsi="Arial" w:eastAsia="Times New Roman" w:cs="Arial"/>
                <w:sz w:val="18"/>
                <w:szCs w:val="18"/>
              </w:rPr>
              <w:t>2 x N1 (8 x N1) </w:t>
            </w:r>
          </w:p>
        </w:tc>
        <w:tc>
          <w:tcPr>
            <w:tcW w:w="1531"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sz w:val="18"/>
                <w:szCs w:val="18"/>
              </w:rPr>
              <w:t>0.64 x N1 (1 x N1) </w:t>
            </w:r>
          </w:p>
        </w:tc>
        <w:tc>
          <w:tcPr>
            <w:tcW w:w="1393"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sz w:val="18"/>
                <w:szCs w:val="18"/>
              </w:rPr>
              <w:t>1.92 x N1 (3 x N1)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781"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sz w:val="18"/>
                <w:szCs w:val="18"/>
              </w:rPr>
              <w:t>1.28 </w:t>
            </w:r>
          </w:p>
        </w:tc>
        <w:tc>
          <w:tcPr>
            <w:tcW w:w="1466"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t>8.96</w:t>
            </w:r>
            <w:r>
              <w:rPr>
                <w:rFonts w:hint="eastAsia" w:eastAsia="宋体"/>
                <w:lang w:val="en-US" w:eastAsia="zh-CN"/>
              </w:rPr>
              <w:t xml:space="preserve"> </w:t>
            </w:r>
            <w:r>
              <w:rPr>
                <w:rFonts w:ascii="Arial" w:hAnsi="Arial" w:eastAsia="Times New Roman" w:cs="Arial"/>
                <w:sz w:val="18"/>
                <w:szCs w:val="18"/>
              </w:rPr>
              <w:t>x N1 (7 x N1) </w:t>
            </w:r>
          </w:p>
        </w:tc>
        <w:tc>
          <w:tcPr>
            <w:tcW w:w="1531"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sz w:val="18"/>
                <w:szCs w:val="18"/>
              </w:rPr>
              <w:t>1.28 x N1 (1 x N1) </w:t>
            </w:r>
          </w:p>
        </w:tc>
        <w:tc>
          <w:tcPr>
            <w:tcW w:w="1393"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sz w:val="18"/>
                <w:szCs w:val="18"/>
              </w:rPr>
              <w:t>3.84 x N1 (3 x N1)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781"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sz w:val="18"/>
                <w:szCs w:val="18"/>
              </w:rPr>
              <w:t>2.56 </w:t>
            </w:r>
          </w:p>
        </w:tc>
        <w:tc>
          <w:tcPr>
            <w:tcW w:w="1466"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sz w:val="18"/>
                <w:szCs w:val="18"/>
              </w:rPr>
              <w:t>58.88 x N1 (23 x N1) </w:t>
            </w:r>
          </w:p>
        </w:tc>
        <w:tc>
          <w:tcPr>
            <w:tcW w:w="1531"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sz w:val="18"/>
                <w:szCs w:val="18"/>
              </w:rPr>
              <w:t>2.56 x N1 (1 x N1) </w:t>
            </w:r>
          </w:p>
        </w:tc>
        <w:tc>
          <w:tcPr>
            <w:tcW w:w="1393" w:type="dxa"/>
            <w:tcBorders>
              <w:top w:val="single" w:color="auto" w:sz="6" w:space="0"/>
              <w:left w:val="single" w:color="auto" w:sz="6" w:space="0"/>
              <w:bottom w:val="single" w:color="auto" w:sz="6" w:space="0"/>
              <w:right w:val="single" w:color="auto" w:sz="6" w:space="0"/>
            </w:tcBorders>
            <w:shd w:val="clear" w:color="auto" w:fill="auto"/>
          </w:tcPr>
          <w:p>
            <w:pPr>
              <w:spacing w:after="0"/>
              <w:jc w:val="center"/>
              <w:textAlignment w:val="baseline"/>
              <w:rPr>
                <w:rFonts w:eastAsia="Times New Roman"/>
                <w:sz w:val="24"/>
                <w:szCs w:val="24"/>
              </w:rPr>
            </w:pPr>
            <w:r>
              <w:rPr>
                <w:rFonts w:ascii="Arial" w:hAnsi="Arial" w:eastAsia="Times New Roman" w:cs="Arial"/>
                <w:sz w:val="18"/>
                <w:szCs w:val="18"/>
              </w:rPr>
              <w:t>7.68 x N1 (3 x N1) </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jc w:val="center"/>
        </w:trPr>
        <w:tc>
          <w:tcPr>
            <w:tcW w:w="5171" w:type="dxa"/>
            <w:gridSpan w:val="4"/>
            <w:tcBorders>
              <w:top w:val="single" w:color="auto" w:sz="6" w:space="0"/>
              <w:left w:val="single" w:color="auto" w:sz="6" w:space="0"/>
              <w:bottom w:val="single" w:color="auto" w:sz="6" w:space="0"/>
              <w:right w:val="single" w:color="auto" w:sz="6" w:space="0"/>
            </w:tcBorders>
            <w:shd w:val="clear" w:color="auto" w:fill="auto"/>
          </w:tcPr>
          <w:p>
            <w:pPr>
              <w:spacing w:after="0"/>
              <w:ind w:left="840" w:hanging="840"/>
              <w:textAlignment w:val="baseline"/>
              <w:rPr>
                <w:rFonts w:eastAsia="Times New Roman"/>
                <w:sz w:val="24"/>
                <w:szCs w:val="24"/>
              </w:rPr>
            </w:pPr>
            <w:r>
              <w:rPr>
                <w:rFonts w:ascii="Arial" w:hAnsi="Arial" w:eastAsia="Times New Roman" w:cs="Arial"/>
                <w:sz w:val="18"/>
                <w:szCs w:val="18"/>
              </w:rPr>
              <w:t>Note 1:</w:t>
            </w:r>
            <w:r>
              <w:rPr>
                <w:rFonts w:ascii="Calibri" w:hAnsi="Calibri" w:eastAsia="Times New Roman" w:cs="Calibri"/>
                <w:sz w:val="18"/>
                <w:szCs w:val="18"/>
              </w:rPr>
              <w:t xml:space="preserve"> </w:t>
            </w:r>
            <w:r>
              <w:rPr>
                <w:rFonts w:ascii="Arial" w:hAnsi="Arial" w:eastAsia="Times New Roman" w:cs="Arial"/>
                <w:sz w:val="18"/>
                <w:szCs w:val="18"/>
              </w:rPr>
              <w:t>when SMTC &lt; = 40 ms, M2 = M3 = M4 = 1; and when SMTC &gt; 40 ms, M2 = 1.5, M3 = M4 = 2 </w:t>
            </w:r>
          </w:p>
        </w:tc>
      </w:tr>
    </w:tbl>
    <w:p>
      <w:pPr>
        <w:pStyle w:val="3"/>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宋体" w:cs="Times New Roman"/>
          <w:b/>
          <w:bCs/>
          <w:color w:val="auto"/>
          <w:sz w:val="21"/>
          <w:szCs w:val="21"/>
          <w:lang w:val="en-US" w:eastAsia="zh-CN" w:bidi="ar-SA"/>
        </w:rPr>
      </w:pPr>
      <w:r>
        <w:rPr>
          <w:rFonts w:hint="eastAsia" w:eastAsia="宋体" w:cs="Times New Roman"/>
          <w:b/>
          <w:bCs/>
          <w:color w:val="auto"/>
          <w:sz w:val="21"/>
          <w:szCs w:val="21"/>
          <w:lang w:val="en-US" w:eastAsia="zh-CN" w:bidi="ar-SA"/>
        </w:rPr>
        <w:t xml:space="preserve">Proposal 5: </w:t>
      </w:r>
      <w:bookmarkEnd w:id="6"/>
      <w:r>
        <w:rPr>
          <w:rFonts w:hint="eastAsia" w:eastAsia="宋体" w:cs="Times New Roman"/>
          <w:b/>
          <w:bCs/>
          <w:color w:val="auto"/>
          <w:sz w:val="21"/>
          <w:szCs w:val="21"/>
          <w:lang w:val="en-US" w:eastAsia="zh-CN" w:bidi="ar-SA"/>
        </w:rPr>
        <w:t>Acquiring the HST FR2 requirements based on the HST FR1 enhancement, i.e. introducing scaling factor N1 upon the HST FR1 enhancement in Rel-16</w:t>
      </w:r>
      <w:bookmarkStart w:id="7" w:name="OLE_LINK2"/>
      <w:r>
        <w:rPr>
          <w:rFonts w:hint="eastAsia" w:eastAsia="宋体" w:cs="Times New Roman"/>
          <w:b/>
          <w:bCs/>
          <w:color w:val="auto"/>
          <w:sz w:val="21"/>
          <w:szCs w:val="21"/>
          <w:lang w:val="en-US" w:eastAsia="zh-CN" w:bidi="ar-SA"/>
        </w:rPr>
        <w:t>.</w:t>
      </w:r>
    </w:p>
    <w:bookmarkEnd w:id="7"/>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CONNECTED and IDLE/INACTIVE state requirements enhancement</w:t>
      </w:r>
      <w:r>
        <w:rPr>
          <w:rFonts w:eastAsia="宋体"/>
          <w:bCs/>
          <w:color w:val="auto"/>
          <w:sz w:val="20"/>
          <w:szCs w:val="20"/>
          <w:lang w:val="en-GB" w:eastAsia="zh-CN"/>
        </w:rPr>
        <w:t>:</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ascii="Times New Roman" w:hAnsi="Times New Roman" w:eastAsia="宋体" w:cs="Times New Roman"/>
          <w:b/>
          <w:bCs/>
          <w:color w:val="auto"/>
          <w:sz w:val="20"/>
          <w:szCs w:val="20"/>
          <w:lang w:val="en-US" w:eastAsia="zh-CN" w:bidi="ar-SA"/>
        </w:rPr>
      </w:pPr>
      <w:r>
        <w:rPr>
          <w:rFonts w:hint="eastAsia" w:eastAsia="宋体" w:cs="Times New Roman"/>
          <w:b/>
          <w:bCs/>
          <w:color w:val="auto"/>
          <w:sz w:val="20"/>
          <w:szCs w:val="20"/>
          <w:lang w:val="en-US" w:eastAsia="zh-CN" w:bidi="ar-SA"/>
        </w:rPr>
        <w:t>Observation 1</w:t>
      </w:r>
      <w:r>
        <w:rPr>
          <w:rFonts w:hint="eastAsia" w:ascii="Times New Roman" w:hAnsi="Times New Roman" w:eastAsia="宋体" w:cs="Times New Roman"/>
          <w:b/>
          <w:bCs/>
          <w:color w:val="auto"/>
          <w:sz w:val="20"/>
          <w:szCs w:val="20"/>
          <w:lang w:val="en-US" w:eastAsia="zh-CN" w:bidi="ar-SA"/>
        </w:rPr>
        <w:t xml:space="preserve">: The scaling factor for handover to unknown cell needs to be aligned with the conclusion from RX beam number discussion. </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eastAsia="宋体" w:cs="Times New Roman"/>
          <w:b/>
          <w:bCs/>
          <w:color w:val="auto"/>
          <w:sz w:val="20"/>
          <w:szCs w:val="20"/>
          <w:lang w:val="en-US" w:eastAsia="zh-CN" w:bidi="ar-SA"/>
        </w:rPr>
      </w:pPr>
      <w:r>
        <w:rPr>
          <w:rFonts w:hint="eastAsia" w:eastAsia="宋体" w:cs="Times New Roman"/>
          <w:b/>
          <w:bCs/>
          <w:color w:val="auto"/>
          <w:sz w:val="20"/>
          <w:szCs w:val="20"/>
          <w:lang w:val="en-US" w:eastAsia="zh-CN" w:bidi="ar-SA"/>
        </w:rPr>
        <w:t>Observation 2：Limits for intra-frequency/inter-frequency SMTC periodicity can be relaxed for the small scaling factor.</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eastAsia" w:eastAsia="宋体" w:cs="Times New Roman"/>
          <w:b/>
          <w:bCs/>
          <w:color w:val="auto"/>
          <w:sz w:val="20"/>
          <w:szCs w:val="20"/>
          <w:lang w:val="en-US" w:eastAsia="zh-CN" w:bidi="ar-SA"/>
        </w:rPr>
      </w:pPr>
      <w:r>
        <w:rPr>
          <w:rFonts w:hint="eastAsia" w:eastAsia="宋体" w:cs="Times New Roman"/>
          <w:b/>
          <w:bCs/>
          <w:color w:val="auto"/>
          <w:sz w:val="20"/>
          <w:szCs w:val="20"/>
          <w:lang w:val="en-US" w:eastAsia="zh-CN" w:bidi="ar-SA"/>
        </w:rPr>
        <w:t>Proposal 1: Firstly the upper bound of DRX cycle should be determined.</w:t>
      </w:r>
    </w:p>
    <w:p>
      <w:pPr>
        <w:pStyle w:val="3"/>
        <w:keepNext w:val="0"/>
        <w:keepLines w:val="0"/>
        <w:pageBreakBefore w:val="0"/>
        <w:widowControl/>
        <w:kinsoku/>
        <w:wordWrap/>
        <w:overflowPunct/>
        <w:topLinePunct w:val="0"/>
        <w:autoSpaceDE/>
        <w:autoSpaceDN/>
        <w:bidi w:val="0"/>
        <w:adjustRightInd/>
        <w:snapToGrid/>
        <w:spacing w:after="120"/>
        <w:textAlignment w:val="auto"/>
        <w:rPr>
          <w:rFonts w:hint="default" w:eastAsia="宋体" w:cs="Times New Roman"/>
          <w:b/>
          <w:bCs/>
          <w:color w:val="auto"/>
          <w:sz w:val="20"/>
          <w:szCs w:val="20"/>
          <w:lang w:val="en-US" w:eastAsia="zh-CN" w:bidi="ar-SA"/>
        </w:rPr>
      </w:pPr>
      <w:r>
        <w:rPr>
          <w:rFonts w:hint="eastAsia" w:eastAsia="宋体" w:cs="Times New Roman"/>
          <w:b/>
          <w:bCs/>
          <w:color w:val="auto"/>
          <w:sz w:val="20"/>
          <w:szCs w:val="20"/>
          <w:lang w:val="en-US" w:eastAsia="zh-CN" w:bidi="ar-SA"/>
        </w:rPr>
        <w:t>Proposal 2: Requirements enhancement should be defined for small DRX cycle ≤ the upper bound. For the DRX cycle &gt; the upper bound, reuse existing Rel-16 requirements, but network should avoid configured long DRX configuration for HSR FR2 enabled case.</w:t>
      </w:r>
    </w:p>
    <w:p>
      <w:pPr>
        <w:pStyle w:val="3"/>
        <w:keepNext w:val="0"/>
        <w:keepLines w:val="0"/>
        <w:pageBreakBefore w:val="0"/>
        <w:widowControl/>
        <w:kinsoku/>
        <w:wordWrap/>
        <w:overflowPunct/>
        <w:topLinePunct w:val="0"/>
        <w:autoSpaceDE/>
        <w:autoSpaceDN/>
        <w:bidi w:val="0"/>
        <w:adjustRightInd/>
        <w:snapToGrid/>
        <w:textAlignment w:val="auto"/>
        <w:rPr>
          <w:rFonts w:hint="eastAsia"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eastAsia="宋体" w:cs="Times New Roman"/>
          <w:b/>
          <w:bCs/>
          <w:color w:val="auto"/>
          <w:sz w:val="20"/>
          <w:szCs w:val="20"/>
          <w:lang w:val="en-US" w:eastAsia="zh-CN" w:bidi="ar-SA"/>
        </w:rPr>
        <w:t>3</w:t>
      </w:r>
      <w:r>
        <w:rPr>
          <w:rFonts w:hint="eastAsia" w:ascii="Times New Roman" w:hAnsi="Times New Roman" w:eastAsia="宋体" w:cs="Times New Roman"/>
          <w:b/>
          <w:bCs/>
          <w:color w:val="auto"/>
          <w:sz w:val="20"/>
          <w:szCs w:val="20"/>
          <w:lang w:val="en-US" w:eastAsia="zh-CN" w:bidi="ar-SA"/>
        </w:rPr>
        <w:t>: Define criteria of known cell for FR2.</w:t>
      </w:r>
    </w:p>
    <w:p>
      <w:pPr>
        <w:pStyle w:val="3"/>
        <w:keepNext w:val="0"/>
        <w:keepLines w:val="0"/>
        <w:pageBreakBefore w:val="0"/>
        <w:widowControl/>
        <w:kinsoku/>
        <w:wordWrap/>
        <w:overflowPunct/>
        <w:topLinePunct w:val="0"/>
        <w:autoSpaceDE/>
        <w:autoSpaceDN/>
        <w:bidi w:val="0"/>
        <w:adjustRightInd/>
        <w:snapToGrid/>
        <w:textAlignment w:val="auto"/>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 xml:space="preserve">Proposal </w:t>
      </w:r>
      <w:r>
        <w:rPr>
          <w:rFonts w:hint="eastAsia" w:eastAsia="宋体" w:cs="Times New Roman"/>
          <w:b/>
          <w:bCs/>
          <w:color w:val="auto"/>
          <w:sz w:val="20"/>
          <w:szCs w:val="20"/>
          <w:lang w:val="en-US" w:eastAsia="zh-CN" w:bidi="ar-SA"/>
        </w:rPr>
        <w:t>4</w:t>
      </w:r>
      <w:r>
        <w:rPr>
          <w:rFonts w:hint="eastAsia" w:ascii="Times New Roman" w:hAnsi="Times New Roman" w:eastAsia="宋体" w:cs="Times New Roman"/>
          <w:b/>
          <w:bCs/>
          <w:color w:val="auto"/>
          <w:sz w:val="20"/>
          <w:szCs w:val="20"/>
          <w:lang w:val="en-US" w:eastAsia="zh-CN" w:bidi="ar-SA"/>
        </w:rPr>
        <w:t>: Enhance requirements for unknown cell and align with the RX beam sweep number reduction.</w:t>
      </w:r>
    </w:p>
    <w:p>
      <w:pPr>
        <w:pStyle w:val="3"/>
        <w:keepNext w:val="0"/>
        <w:keepLines w:val="0"/>
        <w:pageBreakBefore w:val="0"/>
        <w:widowControl/>
        <w:kinsoku/>
        <w:wordWrap/>
        <w:overflowPunct/>
        <w:topLinePunct w:val="0"/>
        <w:autoSpaceDE/>
        <w:autoSpaceDN/>
        <w:bidi w:val="0"/>
        <w:adjustRightInd/>
        <w:snapToGrid/>
        <w:textAlignment w:val="auto"/>
        <w:rPr>
          <w:rFonts w:hint="default" w:eastAsia="宋体" w:cs="Times New Roman"/>
          <w:b/>
          <w:bCs/>
          <w:color w:val="auto"/>
          <w:sz w:val="20"/>
          <w:szCs w:val="20"/>
          <w:lang w:val="en-US" w:eastAsia="zh-CN" w:bidi="ar-SA"/>
        </w:rPr>
      </w:pPr>
      <w:r>
        <w:rPr>
          <w:rFonts w:hint="eastAsia" w:eastAsia="宋体" w:cs="Times New Roman"/>
          <w:b/>
          <w:bCs/>
          <w:color w:val="auto"/>
          <w:sz w:val="20"/>
          <w:szCs w:val="20"/>
          <w:lang w:val="en-US" w:eastAsia="zh-CN" w:bidi="ar-SA"/>
        </w:rPr>
        <w:t>Proposal 5: Acquiring the HST FR2 requirements based on the HST FR1 enhancement, i.e. introducing scaling factor N1 upon the HST FR1 enhancement in Rel-16.</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rPr>
          <w:rFonts w:hint="default" w:eastAsia="宋体"/>
          <w:color w:val="auto"/>
          <w:lang w:val="en-US" w:eastAsia="zh-CN"/>
        </w:rPr>
      </w:pPr>
      <w:r>
        <w:rPr>
          <w:rFonts w:hint="eastAsia"/>
          <w:color w:val="auto"/>
          <w:lang w:val="en-US" w:eastAsia="zh-CN"/>
        </w:rPr>
        <w:t xml:space="preserve">R4-2108342, </w:t>
      </w:r>
      <w:r>
        <w:rPr>
          <w:rFonts w:hint="default"/>
          <w:color w:val="auto"/>
          <w:lang w:val="en-US" w:eastAsia="zh-CN"/>
        </w:rPr>
        <w:t>“</w:t>
      </w:r>
      <w:r>
        <w:rPr>
          <w:rFonts w:hint="eastAsia"/>
          <w:color w:val="auto"/>
          <w:lang w:val="en-US" w:eastAsia="zh-CN"/>
        </w:rPr>
        <w:t>WF on FR2 HST RRM requirements</w:t>
      </w:r>
      <w:r>
        <w:rPr>
          <w:rFonts w:hint="default"/>
          <w:color w:val="auto"/>
          <w:lang w:val="en-US" w:eastAsia="zh-CN"/>
        </w:rPr>
        <w:t>”</w:t>
      </w:r>
      <w:r>
        <w:rPr>
          <w:rFonts w:hint="eastAsia"/>
          <w:color w:val="auto"/>
          <w:lang w:val="en-US" w:eastAsia="zh-CN"/>
        </w:rPr>
        <w:t xml:space="preserve">, RAN4#99 e-meeting, Nokia, Nokia Shanghai Bell. </w:t>
      </w:r>
    </w:p>
    <w:p>
      <w:pPr>
        <w:pStyle w:val="9"/>
        <w:rPr>
          <w:rFonts w:hint="default" w:eastAsia="宋体"/>
          <w:color w:val="auto"/>
          <w:lang w:val="en-US" w:eastAsia="zh-CN"/>
        </w:rPr>
      </w:pPr>
      <w:r>
        <w:rPr>
          <w:rFonts w:hint="eastAsia"/>
          <w:color w:val="auto"/>
          <w:lang w:val="en-US" w:eastAsia="zh-CN"/>
        </w:rPr>
        <w:t xml:space="preserve">TS 38.133-h20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Arial-BoldMT">
    <w:altName w:val="Arial"/>
    <w:panose1 w:val="00000000000000000000"/>
    <w:charset w:val="00"/>
    <w:family w:val="roman"/>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swiss"/>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72C321"/>
    <w:multiLevelType w:val="singleLevel"/>
    <w:tmpl w:val="8372C321"/>
    <w:lvl w:ilvl="0" w:tentative="0">
      <w:start w:val="1"/>
      <w:numFmt w:val="bullet"/>
      <w:lvlText w:val=""/>
      <w:lvlJc w:val="left"/>
      <w:pPr>
        <w:tabs>
          <w:tab w:val="left" w:pos="420"/>
        </w:tabs>
        <w:ind w:left="840" w:hanging="420"/>
      </w:pPr>
      <w:rPr>
        <w:rFonts w:hint="default" w:ascii="Wingdings" w:hAnsi="Wingdings"/>
      </w:rPr>
    </w:lvl>
  </w:abstractNum>
  <w:abstractNum w:abstractNumId="1">
    <w:nsid w:val="8DA1217F"/>
    <w:multiLevelType w:val="singleLevel"/>
    <w:tmpl w:val="8DA1217F"/>
    <w:lvl w:ilvl="0" w:tentative="0">
      <w:start w:val="1"/>
      <w:numFmt w:val="bullet"/>
      <w:lvlText w:val=""/>
      <w:lvlJc w:val="left"/>
      <w:pPr>
        <w:tabs>
          <w:tab w:val="left" w:pos="420"/>
        </w:tabs>
        <w:ind w:left="840" w:hanging="420"/>
      </w:pPr>
      <w:rPr>
        <w:rFonts w:hint="default" w:ascii="Wingdings" w:hAnsi="Wingdings"/>
      </w:rPr>
    </w:lvl>
  </w:abstractNum>
  <w:abstractNum w:abstractNumId="2">
    <w:nsid w:val="B46F42DE"/>
    <w:multiLevelType w:val="singleLevel"/>
    <w:tmpl w:val="B46F42DE"/>
    <w:lvl w:ilvl="0" w:tentative="0">
      <w:start w:val="1"/>
      <w:numFmt w:val="bullet"/>
      <w:lvlText w:val=""/>
      <w:lvlJc w:val="left"/>
      <w:pPr>
        <w:ind w:left="420" w:hanging="420"/>
      </w:pPr>
      <w:rPr>
        <w:rFonts w:hint="default" w:ascii="Wingdings" w:hAnsi="Wingdings"/>
      </w:rPr>
    </w:lvl>
  </w:abstractNum>
  <w:abstractNum w:abstractNumId="3">
    <w:nsid w:val="C9D7C39D"/>
    <w:multiLevelType w:val="singleLevel"/>
    <w:tmpl w:val="C9D7C39D"/>
    <w:lvl w:ilvl="0" w:tentative="0">
      <w:start w:val="1"/>
      <w:numFmt w:val="bullet"/>
      <w:lvlText w:val=""/>
      <w:lvlJc w:val="left"/>
      <w:pPr>
        <w:tabs>
          <w:tab w:val="left" w:pos="420"/>
        </w:tabs>
        <w:ind w:left="840" w:hanging="420"/>
      </w:pPr>
      <w:rPr>
        <w:rFonts w:hint="default" w:ascii="Wingdings" w:hAnsi="Wingdings"/>
      </w:rPr>
    </w:lvl>
  </w:abstractNum>
  <w:abstractNum w:abstractNumId="4">
    <w:nsid w:val="EF5DB83B"/>
    <w:multiLevelType w:val="singleLevel"/>
    <w:tmpl w:val="EF5DB83B"/>
    <w:lvl w:ilvl="0" w:tentative="0">
      <w:start w:val="1"/>
      <w:numFmt w:val="bullet"/>
      <w:lvlText w:val=""/>
      <w:lvlJc w:val="left"/>
      <w:pPr>
        <w:tabs>
          <w:tab w:val="left" w:pos="420"/>
        </w:tabs>
        <w:ind w:left="840" w:hanging="420"/>
      </w:pPr>
      <w:rPr>
        <w:rFonts w:hint="default" w:ascii="Wingdings" w:hAnsi="Wingdings"/>
      </w:rPr>
    </w:lvl>
  </w:abstractNum>
  <w:abstractNum w:abstractNumId="5">
    <w:nsid w:val="0092FEE9"/>
    <w:multiLevelType w:val="singleLevel"/>
    <w:tmpl w:val="0092FEE9"/>
    <w:lvl w:ilvl="0" w:tentative="0">
      <w:start w:val="1"/>
      <w:numFmt w:val="bullet"/>
      <w:lvlText w:val=""/>
      <w:lvlJc w:val="left"/>
      <w:pPr>
        <w:tabs>
          <w:tab w:val="left" w:pos="1260"/>
        </w:tabs>
        <w:ind w:left="168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35939DF6"/>
    <w:multiLevelType w:val="singleLevel"/>
    <w:tmpl w:val="35939DF6"/>
    <w:lvl w:ilvl="0" w:tentative="0">
      <w:start w:val="1"/>
      <w:numFmt w:val="bullet"/>
      <w:lvlText w:val=""/>
      <w:lvlJc w:val="left"/>
      <w:pPr>
        <w:tabs>
          <w:tab w:val="left" w:pos="840"/>
        </w:tabs>
        <w:ind w:left="1260" w:hanging="420"/>
      </w:pPr>
      <w:rPr>
        <w:rFonts w:hint="default" w:ascii="Wingdings" w:hAnsi="Wingdings"/>
      </w:rPr>
    </w:lvl>
  </w:abstractNum>
  <w:abstractNum w:abstractNumId="9">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888712D"/>
    <w:multiLevelType w:val="singleLevel"/>
    <w:tmpl w:val="7888712D"/>
    <w:lvl w:ilvl="0" w:tentative="0">
      <w:start w:val="1"/>
      <w:numFmt w:val="bullet"/>
      <w:lvlText w:val=""/>
      <w:lvlJc w:val="left"/>
      <w:pPr>
        <w:tabs>
          <w:tab w:val="left" w:pos="840"/>
        </w:tabs>
        <w:ind w:left="1260" w:hanging="420"/>
      </w:pPr>
      <w:rPr>
        <w:rFonts w:hint="default" w:ascii="Wingdings" w:hAnsi="Wingdings"/>
      </w:rPr>
    </w:lvl>
  </w:abstractNum>
  <w:num w:numId="1">
    <w:abstractNumId w:val="10"/>
  </w:num>
  <w:num w:numId="2">
    <w:abstractNumId w:val="9"/>
  </w:num>
  <w:num w:numId="3">
    <w:abstractNumId w:val="6"/>
  </w:num>
  <w:num w:numId="4">
    <w:abstractNumId w:val="0"/>
  </w:num>
  <w:num w:numId="5">
    <w:abstractNumId w:val="11"/>
  </w:num>
  <w:num w:numId="6">
    <w:abstractNumId w:val="4"/>
  </w:num>
  <w:num w:numId="7">
    <w:abstractNumId w:val="8"/>
  </w:num>
  <w:num w:numId="8">
    <w:abstractNumId w:val="5"/>
  </w:num>
  <w:num w:numId="9">
    <w:abstractNumId w:val="7"/>
  </w:num>
  <w:num w:numId="10">
    <w:abstractNumId w:val="1"/>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5477E90"/>
    <w:rsid w:val="05C42923"/>
    <w:rsid w:val="07CD3CDD"/>
    <w:rsid w:val="0855671D"/>
    <w:rsid w:val="09716BCA"/>
    <w:rsid w:val="09E644B8"/>
    <w:rsid w:val="0B3D3C2F"/>
    <w:rsid w:val="0BB0429A"/>
    <w:rsid w:val="120774A3"/>
    <w:rsid w:val="1481754F"/>
    <w:rsid w:val="148F5721"/>
    <w:rsid w:val="14AC57CD"/>
    <w:rsid w:val="164514BE"/>
    <w:rsid w:val="170F06AA"/>
    <w:rsid w:val="17225508"/>
    <w:rsid w:val="180A6E32"/>
    <w:rsid w:val="183F2CD2"/>
    <w:rsid w:val="18CD0507"/>
    <w:rsid w:val="1AD01A1B"/>
    <w:rsid w:val="1B61065A"/>
    <w:rsid w:val="1BBF3927"/>
    <w:rsid w:val="1C177B08"/>
    <w:rsid w:val="1C9001C6"/>
    <w:rsid w:val="1CBA2101"/>
    <w:rsid w:val="1D0573D7"/>
    <w:rsid w:val="1D153DC4"/>
    <w:rsid w:val="1D223E0B"/>
    <w:rsid w:val="1E853F6F"/>
    <w:rsid w:val="1ECC1E3C"/>
    <w:rsid w:val="21244EB1"/>
    <w:rsid w:val="21F13629"/>
    <w:rsid w:val="24122135"/>
    <w:rsid w:val="2605683C"/>
    <w:rsid w:val="26BB1419"/>
    <w:rsid w:val="281C2F58"/>
    <w:rsid w:val="2A724D05"/>
    <w:rsid w:val="2A7E505C"/>
    <w:rsid w:val="2BC05B2C"/>
    <w:rsid w:val="2BD617C5"/>
    <w:rsid w:val="2C112837"/>
    <w:rsid w:val="2E014790"/>
    <w:rsid w:val="2F2F0FC8"/>
    <w:rsid w:val="301C6BB6"/>
    <w:rsid w:val="31B14C9E"/>
    <w:rsid w:val="33C522D7"/>
    <w:rsid w:val="34807672"/>
    <w:rsid w:val="35B06C6A"/>
    <w:rsid w:val="36941AA2"/>
    <w:rsid w:val="36D37423"/>
    <w:rsid w:val="379D23F9"/>
    <w:rsid w:val="3A185287"/>
    <w:rsid w:val="3A692CD0"/>
    <w:rsid w:val="3B270929"/>
    <w:rsid w:val="3B3D5571"/>
    <w:rsid w:val="3B673620"/>
    <w:rsid w:val="3B9A1F29"/>
    <w:rsid w:val="3CE4646B"/>
    <w:rsid w:val="3D5E7AA8"/>
    <w:rsid w:val="3D6F2596"/>
    <w:rsid w:val="405F175E"/>
    <w:rsid w:val="40C765F3"/>
    <w:rsid w:val="42F869D2"/>
    <w:rsid w:val="43553536"/>
    <w:rsid w:val="44972678"/>
    <w:rsid w:val="451632B9"/>
    <w:rsid w:val="45F60A50"/>
    <w:rsid w:val="46B036BF"/>
    <w:rsid w:val="47282363"/>
    <w:rsid w:val="49E55BC5"/>
    <w:rsid w:val="4C1C63D6"/>
    <w:rsid w:val="4C864A35"/>
    <w:rsid w:val="4E015C76"/>
    <w:rsid w:val="4E4A2325"/>
    <w:rsid w:val="501A6C55"/>
    <w:rsid w:val="51B14BED"/>
    <w:rsid w:val="52526454"/>
    <w:rsid w:val="525C1CEF"/>
    <w:rsid w:val="53A3105E"/>
    <w:rsid w:val="53C64B93"/>
    <w:rsid w:val="548A6C60"/>
    <w:rsid w:val="55B1164D"/>
    <w:rsid w:val="55B4735E"/>
    <w:rsid w:val="56371459"/>
    <w:rsid w:val="56484633"/>
    <w:rsid w:val="59DA647E"/>
    <w:rsid w:val="5A556E1A"/>
    <w:rsid w:val="5E494511"/>
    <w:rsid w:val="5EB44FC0"/>
    <w:rsid w:val="5FBA395F"/>
    <w:rsid w:val="630B00F2"/>
    <w:rsid w:val="635902CD"/>
    <w:rsid w:val="64706BBE"/>
    <w:rsid w:val="64F2095B"/>
    <w:rsid w:val="67A858DB"/>
    <w:rsid w:val="69A833BD"/>
    <w:rsid w:val="6DDE3DAF"/>
    <w:rsid w:val="6E3241BE"/>
    <w:rsid w:val="715F4C2D"/>
    <w:rsid w:val="72BF60CA"/>
    <w:rsid w:val="733D0D32"/>
    <w:rsid w:val="753811DE"/>
    <w:rsid w:val="75BE67D4"/>
    <w:rsid w:val="75C759C1"/>
    <w:rsid w:val="762D64F3"/>
    <w:rsid w:val="775B4604"/>
    <w:rsid w:val="77C067C3"/>
    <w:rsid w:val="78911E31"/>
    <w:rsid w:val="7A9367CB"/>
    <w:rsid w:val="7AF22571"/>
    <w:rsid w:val="7C1C35A7"/>
    <w:rsid w:val="7C45431D"/>
    <w:rsid w:val="7DDD0501"/>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TAN"/>
    <w:basedOn w:val="34"/>
    <w:qFormat/>
    <w:uiPriority w:val="0"/>
    <w:pPr>
      <w:ind w:left="851" w:hanging="851"/>
    </w:pPr>
  </w:style>
  <w:style w:type="character" w:customStyle="1" w:styleId="52">
    <w:name w:val="normaltextrun"/>
    <w:basedOn w:val="18"/>
    <w:qFormat/>
    <w:uiPriority w:val="0"/>
  </w:style>
  <w:style w:type="character" w:customStyle="1" w:styleId="53">
    <w:name w:val="eop"/>
    <w:basedOn w:val="1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25</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ZTE(Liu Wenhao)</cp:lastModifiedBy>
  <cp:lastPrinted>2015-02-02T11:17:00Z</cp:lastPrinted>
  <dcterms:modified xsi:type="dcterms:W3CDTF">2021-08-06T13:31:04Z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